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146" w:rsidRPr="00E10D0F" w:rsidRDefault="00536A0E" w:rsidP="002B45D5">
      <w:pPr>
        <w:spacing w:after="0" w:line="360" w:lineRule="auto"/>
        <w:rPr>
          <w:rFonts w:ascii="Arial" w:hAnsi="Arial" w:cs="Arial"/>
        </w:rPr>
      </w:pPr>
      <w:bookmarkStart w:id="0" w:name="_GoBack"/>
      <w:bookmarkEnd w:id="0"/>
      <w:r w:rsidRPr="00E10D0F">
        <w:rPr>
          <w:rFonts w:ascii="Arial" w:hAnsi="Arial" w:cs="Arial"/>
        </w:rPr>
        <w:t xml:space="preserve"> </w:t>
      </w:r>
    </w:p>
    <w:p w:rsidR="00B75146" w:rsidRPr="00E10D0F" w:rsidRDefault="00B75146" w:rsidP="002B45D5">
      <w:pPr>
        <w:spacing w:after="0" w:line="360" w:lineRule="auto"/>
        <w:rPr>
          <w:rFonts w:ascii="Arial" w:hAnsi="Arial" w:cs="Arial"/>
        </w:rPr>
      </w:pPr>
    </w:p>
    <w:p w:rsidR="00337C5B" w:rsidRDefault="00337C5B" w:rsidP="002B45D5">
      <w:pPr>
        <w:spacing w:after="0" w:line="360" w:lineRule="auto"/>
        <w:rPr>
          <w:rFonts w:ascii="Arial" w:hAnsi="Arial" w:cs="Arial"/>
        </w:rPr>
      </w:pPr>
    </w:p>
    <w:p w:rsidR="00D907BD" w:rsidRDefault="00D907BD" w:rsidP="002B45D5">
      <w:pPr>
        <w:spacing w:after="0" w:line="360" w:lineRule="auto"/>
        <w:rPr>
          <w:rFonts w:ascii="Arial" w:hAnsi="Arial" w:cs="Arial"/>
        </w:rPr>
      </w:pPr>
    </w:p>
    <w:p w:rsidR="00D907BD" w:rsidRDefault="00D907BD" w:rsidP="002B45D5">
      <w:pPr>
        <w:spacing w:after="0" w:line="360" w:lineRule="auto"/>
        <w:rPr>
          <w:rFonts w:ascii="Arial" w:hAnsi="Arial" w:cs="Arial"/>
        </w:rPr>
      </w:pPr>
    </w:p>
    <w:p w:rsidR="00D907BD" w:rsidRDefault="00D907BD" w:rsidP="002B45D5">
      <w:pPr>
        <w:spacing w:after="0" w:line="360" w:lineRule="auto"/>
        <w:rPr>
          <w:rFonts w:ascii="Arial" w:hAnsi="Arial" w:cs="Arial"/>
        </w:rPr>
      </w:pPr>
    </w:p>
    <w:p w:rsidR="00D907BD" w:rsidRDefault="00D907BD" w:rsidP="002B45D5">
      <w:pPr>
        <w:spacing w:after="0" w:line="360" w:lineRule="auto"/>
        <w:rPr>
          <w:rFonts w:ascii="Arial" w:hAnsi="Arial" w:cs="Arial"/>
        </w:rPr>
      </w:pPr>
    </w:p>
    <w:p w:rsidR="00337C5B" w:rsidRPr="00E10D0F" w:rsidRDefault="00337C5B" w:rsidP="002B45D5">
      <w:pPr>
        <w:spacing w:after="0" w:line="360" w:lineRule="auto"/>
        <w:rPr>
          <w:rFonts w:ascii="Arial" w:hAnsi="Arial" w:cs="Arial"/>
        </w:rPr>
      </w:pPr>
    </w:p>
    <w:p w:rsidR="00874DA5" w:rsidRPr="00413C42" w:rsidRDefault="009F03B9" w:rsidP="002B45D5">
      <w:pPr>
        <w:spacing w:after="0" w:line="360" w:lineRule="auto"/>
        <w:jc w:val="center"/>
        <w:rPr>
          <w:rFonts w:ascii="Arial" w:hAnsi="Arial" w:cs="Arial"/>
          <w:b/>
          <w:sz w:val="40"/>
          <w:szCs w:val="40"/>
        </w:rPr>
      </w:pPr>
      <w:r w:rsidRPr="00413C42">
        <w:rPr>
          <w:rFonts w:ascii="Arial" w:hAnsi="Arial" w:cs="Arial"/>
          <w:b/>
          <w:sz w:val="40"/>
          <w:szCs w:val="40"/>
        </w:rPr>
        <w:t xml:space="preserve">Ocena stosowania </w:t>
      </w:r>
      <w:r w:rsidR="00CE6734" w:rsidRPr="00413C42">
        <w:rPr>
          <w:rFonts w:ascii="Arial" w:hAnsi="Arial" w:cs="Arial"/>
          <w:b/>
          <w:sz w:val="40"/>
          <w:szCs w:val="40"/>
        </w:rPr>
        <w:t xml:space="preserve">                                                               </w:t>
      </w:r>
      <w:r w:rsidRPr="00413C42">
        <w:rPr>
          <w:rFonts w:ascii="Arial" w:hAnsi="Arial" w:cs="Arial"/>
          <w:b/>
          <w:sz w:val="40"/>
          <w:szCs w:val="40"/>
        </w:rPr>
        <w:t xml:space="preserve">„Zasad ładu korporacyjnego </w:t>
      </w:r>
      <w:r w:rsidR="00CF71B6">
        <w:rPr>
          <w:rFonts w:ascii="Arial" w:hAnsi="Arial" w:cs="Arial"/>
          <w:b/>
          <w:sz w:val="40"/>
          <w:szCs w:val="40"/>
        </w:rPr>
        <w:t xml:space="preserve">                                   </w:t>
      </w:r>
      <w:r w:rsidRPr="00413C42">
        <w:rPr>
          <w:rFonts w:ascii="Arial" w:hAnsi="Arial" w:cs="Arial"/>
          <w:b/>
          <w:sz w:val="40"/>
          <w:szCs w:val="40"/>
        </w:rPr>
        <w:t xml:space="preserve">dla instytucji nadzorowanych” </w:t>
      </w:r>
      <w:r w:rsidR="00CE6734" w:rsidRPr="00413C42">
        <w:rPr>
          <w:rFonts w:ascii="Arial" w:hAnsi="Arial" w:cs="Arial"/>
          <w:b/>
          <w:sz w:val="40"/>
          <w:szCs w:val="40"/>
        </w:rPr>
        <w:t xml:space="preserve">                                                                 </w:t>
      </w:r>
      <w:r w:rsidRPr="00413C42">
        <w:rPr>
          <w:rFonts w:ascii="Arial" w:hAnsi="Arial" w:cs="Arial"/>
          <w:b/>
          <w:sz w:val="40"/>
          <w:szCs w:val="40"/>
        </w:rPr>
        <w:t>w Domu Maklerskim Navigator S.A.</w:t>
      </w:r>
    </w:p>
    <w:p w:rsidR="00337C5B" w:rsidRPr="00413C42" w:rsidRDefault="00874DA5" w:rsidP="002B45D5">
      <w:pPr>
        <w:spacing w:after="0" w:line="360" w:lineRule="auto"/>
        <w:jc w:val="center"/>
        <w:rPr>
          <w:rFonts w:ascii="Arial" w:hAnsi="Arial" w:cs="Arial"/>
          <w:b/>
          <w:sz w:val="32"/>
          <w:szCs w:val="32"/>
        </w:rPr>
      </w:pPr>
      <w:r w:rsidRPr="00413C42">
        <w:rPr>
          <w:rFonts w:ascii="Arial" w:hAnsi="Arial" w:cs="Arial"/>
          <w:b/>
          <w:sz w:val="40"/>
          <w:szCs w:val="40"/>
        </w:rPr>
        <w:t>za rok obrotowy 2015</w:t>
      </w:r>
    </w:p>
    <w:p w:rsidR="001278AB" w:rsidRDefault="001278AB" w:rsidP="002B45D5">
      <w:pPr>
        <w:spacing w:after="0" w:line="360" w:lineRule="auto"/>
        <w:jc w:val="center"/>
        <w:rPr>
          <w:rFonts w:ascii="Arial" w:hAnsi="Arial" w:cs="Arial"/>
        </w:rPr>
      </w:pPr>
    </w:p>
    <w:p w:rsidR="00D907BD" w:rsidRDefault="00D907BD" w:rsidP="002B45D5">
      <w:pPr>
        <w:spacing w:after="0" w:line="360" w:lineRule="auto"/>
        <w:jc w:val="center"/>
        <w:rPr>
          <w:rFonts w:ascii="Arial" w:hAnsi="Arial" w:cs="Arial"/>
        </w:rPr>
      </w:pPr>
    </w:p>
    <w:p w:rsidR="00D907BD" w:rsidRDefault="00D907BD" w:rsidP="002B45D5">
      <w:pPr>
        <w:spacing w:after="0" w:line="360" w:lineRule="auto"/>
        <w:jc w:val="center"/>
        <w:rPr>
          <w:rFonts w:ascii="Arial" w:hAnsi="Arial" w:cs="Arial"/>
        </w:rPr>
      </w:pPr>
    </w:p>
    <w:p w:rsidR="00D907BD" w:rsidRDefault="00D907BD" w:rsidP="002B45D5">
      <w:pPr>
        <w:spacing w:after="0" w:line="360" w:lineRule="auto"/>
        <w:jc w:val="center"/>
        <w:rPr>
          <w:rFonts w:ascii="Arial" w:hAnsi="Arial" w:cs="Arial"/>
        </w:rPr>
      </w:pPr>
    </w:p>
    <w:p w:rsidR="00D907BD" w:rsidRDefault="00D907BD" w:rsidP="002B45D5">
      <w:pPr>
        <w:spacing w:after="0" w:line="360" w:lineRule="auto"/>
        <w:jc w:val="center"/>
        <w:rPr>
          <w:rFonts w:ascii="Arial" w:hAnsi="Arial" w:cs="Arial"/>
        </w:rPr>
      </w:pPr>
    </w:p>
    <w:p w:rsidR="00D907BD" w:rsidRDefault="00D907BD" w:rsidP="002B45D5">
      <w:pPr>
        <w:spacing w:after="0" w:line="360" w:lineRule="auto"/>
        <w:jc w:val="center"/>
        <w:rPr>
          <w:rFonts w:ascii="Arial" w:hAnsi="Arial" w:cs="Arial"/>
        </w:rPr>
      </w:pPr>
    </w:p>
    <w:p w:rsidR="00D907BD" w:rsidRDefault="00D907BD" w:rsidP="002B45D5">
      <w:pPr>
        <w:spacing w:after="0" w:line="360" w:lineRule="auto"/>
        <w:jc w:val="center"/>
        <w:rPr>
          <w:rFonts w:ascii="Arial" w:hAnsi="Arial" w:cs="Arial"/>
        </w:rPr>
      </w:pPr>
    </w:p>
    <w:p w:rsidR="00D907BD" w:rsidRDefault="00D907BD" w:rsidP="002B45D5">
      <w:pPr>
        <w:spacing w:after="0" w:line="360" w:lineRule="auto"/>
        <w:jc w:val="center"/>
        <w:rPr>
          <w:rFonts w:ascii="Arial" w:hAnsi="Arial" w:cs="Arial"/>
        </w:rPr>
      </w:pPr>
    </w:p>
    <w:p w:rsidR="00D907BD" w:rsidRPr="00E10D0F" w:rsidRDefault="00D907BD" w:rsidP="002B45D5">
      <w:pPr>
        <w:spacing w:after="0" w:line="360" w:lineRule="auto"/>
        <w:jc w:val="center"/>
        <w:rPr>
          <w:rFonts w:ascii="Arial" w:hAnsi="Arial" w:cs="Arial"/>
        </w:rPr>
      </w:pPr>
    </w:p>
    <w:p w:rsidR="001278AB" w:rsidRPr="00E10D0F" w:rsidRDefault="001278AB" w:rsidP="002B45D5">
      <w:pPr>
        <w:spacing w:after="0" w:line="360" w:lineRule="auto"/>
        <w:jc w:val="center"/>
        <w:rPr>
          <w:rFonts w:ascii="Arial" w:hAnsi="Arial" w:cs="Arial"/>
          <w:sz w:val="28"/>
          <w:szCs w:val="28"/>
        </w:rPr>
      </w:pPr>
    </w:p>
    <w:p w:rsidR="001278AB" w:rsidRPr="00E10D0F" w:rsidRDefault="00E10D0F" w:rsidP="002B45D5">
      <w:pPr>
        <w:spacing w:after="0" w:line="360" w:lineRule="auto"/>
        <w:jc w:val="center"/>
        <w:rPr>
          <w:rFonts w:ascii="Arial" w:hAnsi="Arial" w:cs="Arial"/>
          <w:sz w:val="28"/>
          <w:szCs w:val="28"/>
        </w:rPr>
      </w:pPr>
      <w:r>
        <w:rPr>
          <w:rFonts w:ascii="Arial" w:hAnsi="Arial" w:cs="Arial"/>
          <w:sz w:val="28"/>
          <w:szCs w:val="28"/>
        </w:rPr>
        <w:t xml:space="preserve">Warszawa, </w:t>
      </w:r>
      <w:r w:rsidR="001261D1" w:rsidRPr="00E32EB7">
        <w:rPr>
          <w:rFonts w:ascii="Arial" w:hAnsi="Arial" w:cs="Arial"/>
          <w:sz w:val="28"/>
          <w:szCs w:val="28"/>
        </w:rPr>
        <w:t>2</w:t>
      </w:r>
      <w:r w:rsidR="00241E5B">
        <w:rPr>
          <w:rFonts w:ascii="Arial" w:hAnsi="Arial" w:cs="Arial"/>
          <w:sz w:val="28"/>
          <w:szCs w:val="28"/>
        </w:rPr>
        <w:t>8</w:t>
      </w:r>
      <w:r w:rsidR="001261D1" w:rsidRPr="00E32EB7">
        <w:rPr>
          <w:rFonts w:ascii="Arial" w:hAnsi="Arial" w:cs="Arial"/>
          <w:sz w:val="28"/>
          <w:szCs w:val="28"/>
        </w:rPr>
        <w:t xml:space="preserve"> lipca </w:t>
      </w:r>
      <w:r w:rsidRPr="00E32EB7">
        <w:rPr>
          <w:rFonts w:ascii="Arial" w:hAnsi="Arial" w:cs="Arial"/>
          <w:sz w:val="28"/>
          <w:szCs w:val="28"/>
        </w:rPr>
        <w:t>201</w:t>
      </w:r>
      <w:r w:rsidR="000F71C0" w:rsidRPr="00E32EB7">
        <w:rPr>
          <w:rFonts w:ascii="Arial" w:hAnsi="Arial" w:cs="Arial"/>
          <w:sz w:val="28"/>
          <w:szCs w:val="28"/>
        </w:rPr>
        <w:t>6</w:t>
      </w:r>
      <w:r w:rsidRPr="00E32EB7">
        <w:rPr>
          <w:rFonts w:ascii="Arial" w:hAnsi="Arial" w:cs="Arial"/>
          <w:sz w:val="28"/>
          <w:szCs w:val="28"/>
        </w:rPr>
        <w:t xml:space="preserve"> r.</w:t>
      </w:r>
    </w:p>
    <w:p w:rsidR="001278AB" w:rsidRPr="00E10D0F" w:rsidRDefault="001278AB" w:rsidP="002B45D5">
      <w:pPr>
        <w:spacing w:after="0" w:line="360" w:lineRule="auto"/>
        <w:rPr>
          <w:rFonts w:ascii="Arial" w:hAnsi="Arial" w:cs="Arial"/>
        </w:rPr>
      </w:pPr>
      <w:r w:rsidRPr="00E10D0F">
        <w:rPr>
          <w:rFonts w:ascii="Arial" w:hAnsi="Arial" w:cs="Arial"/>
        </w:rPr>
        <w:br w:type="page"/>
      </w:r>
    </w:p>
    <w:p w:rsidR="003C5FAA" w:rsidRDefault="00874DA5" w:rsidP="00413C42">
      <w:pPr>
        <w:keepNext/>
        <w:keepLines/>
        <w:spacing w:after="0" w:line="360" w:lineRule="auto"/>
        <w:jc w:val="both"/>
        <w:rPr>
          <w:rFonts w:ascii="Arial" w:hAnsi="Arial" w:cs="Arial"/>
          <w:color w:val="000000"/>
        </w:rPr>
      </w:pPr>
      <w:r>
        <w:rPr>
          <w:rFonts w:ascii="Arial" w:hAnsi="Arial" w:cs="Arial"/>
          <w:color w:val="000000"/>
        </w:rPr>
        <w:lastRenderedPageBreak/>
        <w:t xml:space="preserve">Na podstawie </w:t>
      </w:r>
      <w:r w:rsidRPr="00413C42">
        <w:rPr>
          <w:rFonts w:ascii="Arial" w:hAnsi="Arial" w:cs="Arial"/>
          <w:color w:val="000000"/>
        </w:rPr>
        <w:t>§ 27 stanowiska Komisji Nadzoru Finansowego „Zasady Ładu Korporacyjnego dla Instytucji Nadzorowanych” – przyjętego uchwałą Komisji Nadzoru Finansowego z dnia 22 lipca 2014 r. obowiązującego od dnia 1 stycznia 2015 r. Rada Nadzorcza Domu Maklerskiego Navigator S.A. („</w:t>
      </w:r>
      <w:r w:rsidR="001314C9">
        <w:rPr>
          <w:rFonts w:ascii="Arial" w:hAnsi="Arial" w:cs="Arial"/>
          <w:color w:val="000000"/>
        </w:rPr>
        <w:t>Navigator</w:t>
      </w:r>
      <w:r w:rsidRPr="00413C42">
        <w:rPr>
          <w:rFonts w:ascii="Arial" w:hAnsi="Arial" w:cs="Arial"/>
          <w:color w:val="000000"/>
        </w:rPr>
        <w:t xml:space="preserve">”) dokonała oceny stosowania przez </w:t>
      </w:r>
      <w:r w:rsidR="001314C9">
        <w:rPr>
          <w:rFonts w:ascii="Arial" w:hAnsi="Arial" w:cs="Arial"/>
          <w:color w:val="000000"/>
        </w:rPr>
        <w:t>Navigator</w:t>
      </w:r>
      <w:r w:rsidRPr="00413C42">
        <w:rPr>
          <w:rFonts w:ascii="Arial" w:hAnsi="Arial" w:cs="Arial"/>
          <w:color w:val="000000"/>
        </w:rPr>
        <w:t xml:space="preserve"> zasad zawartych w dokumencie „Zasady Ładu Korporacyjnego dla Instytucji Nadzorowanych”</w:t>
      </w:r>
      <w:r w:rsidR="001314C9">
        <w:rPr>
          <w:rFonts w:ascii="Arial" w:hAnsi="Arial" w:cs="Arial"/>
          <w:color w:val="000000"/>
        </w:rPr>
        <w:t xml:space="preserve"> (Zasady)</w:t>
      </w:r>
      <w:r w:rsidRPr="00413C42">
        <w:rPr>
          <w:rFonts w:ascii="Arial" w:hAnsi="Arial" w:cs="Arial"/>
          <w:color w:val="000000"/>
        </w:rPr>
        <w:t xml:space="preserve"> oraz dokumencie opublikowanym przez Komisję Nadzoru Finansowego „Pytania i Odpowiedzi do Zasad Ładu Korporacyjnego dla Instytucji Nadzorowanych” </w:t>
      </w:r>
      <w:r w:rsidR="001314C9">
        <w:rPr>
          <w:rFonts w:ascii="Arial" w:hAnsi="Arial" w:cs="Arial"/>
          <w:color w:val="000000"/>
        </w:rPr>
        <w:t>i</w:t>
      </w:r>
      <w:r w:rsidRPr="00413C42">
        <w:rPr>
          <w:rFonts w:ascii="Arial" w:hAnsi="Arial" w:cs="Arial"/>
          <w:color w:val="000000"/>
        </w:rPr>
        <w:t xml:space="preserve"> poniżej przedstawia wyniki (raport) z dokonanej oceny.</w:t>
      </w:r>
    </w:p>
    <w:p w:rsidR="001314C9" w:rsidRDefault="001314C9" w:rsidP="00413C42">
      <w:pPr>
        <w:keepNext/>
        <w:keepLines/>
        <w:spacing w:after="0" w:line="360" w:lineRule="auto"/>
        <w:jc w:val="both"/>
        <w:rPr>
          <w:rFonts w:ascii="Arial" w:hAnsi="Arial" w:cs="Arial"/>
          <w:color w:val="000000"/>
        </w:rPr>
      </w:pPr>
    </w:p>
    <w:p w:rsidR="001314C9" w:rsidRDefault="001314C9" w:rsidP="00413C42">
      <w:pPr>
        <w:keepNext/>
        <w:keepLines/>
        <w:spacing w:after="0" w:line="360" w:lineRule="auto"/>
        <w:jc w:val="both"/>
        <w:rPr>
          <w:rFonts w:ascii="Arial" w:hAnsi="Arial" w:cs="Arial"/>
          <w:color w:val="000000"/>
        </w:rPr>
      </w:pPr>
      <w:r>
        <w:rPr>
          <w:rFonts w:ascii="Arial" w:hAnsi="Arial" w:cs="Arial"/>
          <w:color w:val="000000"/>
        </w:rPr>
        <w:t>Navigator dąży do stosowania w jak najszerszym zakresie wskazówek i zaleceń określonych w Zasadach, mając na względzie skalę, profil i zakres prowadzonej działalności Navigator, a także strukturę właścicielską Navigator, Navigator zrezygnował z wdrożenia</w:t>
      </w:r>
      <w:r w:rsidR="00D00F1E">
        <w:rPr>
          <w:rFonts w:ascii="Arial" w:hAnsi="Arial" w:cs="Arial"/>
          <w:color w:val="000000"/>
        </w:rPr>
        <w:t xml:space="preserve"> wybranych rekomendacji w oparciu o zasadę proporcjonalności,  na co szczegółowo wskazano poniżej wraz z uzasadnieniem danego stanowiska.</w:t>
      </w:r>
    </w:p>
    <w:p w:rsidR="00D00F1E" w:rsidRDefault="00D00F1E" w:rsidP="00413C42">
      <w:pPr>
        <w:keepNext/>
        <w:keepLines/>
        <w:spacing w:after="0" w:line="360" w:lineRule="auto"/>
        <w:jc w:val="both"/>
        <w:rPr>
          <w:rFonts w:ascii="Arial" w:hAnsi="Arial" w:cs="Arial"/>
          <w:color w:val="000000"/>
        </w:rPr>
      </w:pPr>
    </w:p>
    <w:p w:rsidR="00D00F1E" w:rsidRDefault="00D00F1E" w:rsidP="00413C42">
      <w:pPr>
        <w:pStyle w:val="Akapitzlist"/>
        <w:keepNext/>
        <w:keepLines/>
        <w:numPr>
          <w:ilvl w:val="0"/>
          <w:numId w:val="20"/>
        </w:numPr>
        <w:spacing w:after="0" w:line="360" w:lineRule="auto"/>
        <w:jc w:val="both"/>
        <w:rPr>
          <w:rFonts w:ascii="Arial" w:hAnsi="Arial" w:cs="Arial"/>
          <w:b/>
          <w:color w:val="000000"/>
        </w:rPr>
      </w:pPr>
      <w:r w:rsidRPr="00413C42">
        <w:rPr>
          <w:rFonts w:ascii="Arial" w:hAnsi="Arial" w:cs="Arial"/>
          <w:b/>
          <w:color w:val="000000"/>
        </w:rPr>
        <w:t xml:space="preserve">Przyjęcie do stosowania Zasad oraz wyłączenia ze stosowania </w:t>
      </w:r>
      <w:r w:rsidR="00CF71B6">
        <w:rPr>
          <w:rFonts w:ascii="Arial" w:hAnsi="Arial" w:cs="Arial"/>
          <w:b/>
          <w:color w:val="000000"/>
        </w:rPr>
        <w:t xml:space="preserve">Zasad </w:t>
      </w:r>
      <w:r w:rsidRPr="00413C42">
        <w:rPr>
          <w:rFonts w:ascii="Arial" w:hAnsi="Arial" w:cs="Arial"/>
          <w:b/>
          <w:color w:val="000000"/>
        </w:rPr>
        <w:t>w Navigator</w:t>
      </w:r>
    </w:p>
    <w:p w:rsidR="00D00F1E" w:rsidRDefault="00D00F1E" w:rsidP="00413C42">
      <w:pPr>
        <w:keepNext/>
        <w:keepLines/>
        <w:spacing w:after="0" w:line="360" w:lineRule="auto"/>
        <w:jc w:val="both"/>
        <w:rPr>
          <w:rFonts w:ascii="Arial" w:hAnsi="Arial" w:cs="Arial"/>
          <w:b/>
          <w:color w:val="000000"/>
        </w:rPr>
      </w:pPr>
    </w:p>
    <w:p w:rsidR="00D00F1E" w:rsidRDefault="00D00F1E" w:rsidP="00D00F1E">
      <w:pPr>
        <w:keepNext/>
        <w:keepLines/>
        <w:spacing w:after="0" w:line="360" w:lineRule="auto"/>
        <w:jc w:val="both"/>
        <w:rPr>
          <w:rFonts w:ascii="Arial" w:hAnsi="Arial" w:cs="Arial"/>
          <w:color w:val="000000"/>
        </w:rPr>
      </w:pPr>
      <w:r>
        <w:rPr>
          <w:rFonts w:ascii="Arial" w:hAnsi="Arial" w:cs="Arial"/>
          <w:color w:val="000000"/>
        </w:rPr>
        <w:t xml:space="preserve">Decyzja o stosowaniu przez Navigator Zasad została podjęta przez Zarząd i Radę Nadzorczą z dniem 1 stycznia 2015 r., </w:t>
      </w:r>
      <w:r w:rsidRPr="00413C42">
        <w:rPr>
          <w:rFonts w:ascii="Arial" w:hAnsi="Arial" w:cs="Arial"/>
          <w:color w:val="000000"/>
          <w:u w:val="single"/>
        </w:rPr>
        <w:t>z wyłączeniem ze stosowania</w:t>
      </w:r>
      <w:r>
        <w:rPr>
          <w:rFonts w:ascii="Arial" w:hAnsi="Arial" w:cs="Arial"/>
          <w:color w:val="000000"/>
        </w:rPr>
        <w:t>:</w:t>
      </w:r>
    </w:p>
    <w:p w:rsidR="00D00F1E" w:rsidRPr="00413C42" w:rsidRDefault="00D00F1E" w:rsidP="00D00F1E">
      <w:pPr>
        <w:keepNext/>
        <w:keepLines/>
        <w:spacing w:after="0" w:line="360" w:lineRule="auto"/>
        <w:jc w:val="both"/>
        <w:rPr>
          <w:rFonts w:ascii="Arial" w:hAnsi="Arial" w:cs="Arial"/>
          <w:color w:val="000000"/>
          <w:sz w:val="10"/>
          <w:szCs w:val="10"/>
        </w:rPr>
      </w:pPr>
    </w:p>
    <w:p w:rsidR="00F22071" w:rsidRPr="00413C42" w:rsidRDefault="00F22071" w:rsidP="00413C42">
      <w:pPr>
        <w:pStyle w:val="Akapitzlist"/>
        <w:keepNext/>
        <w:keepLines/>
        <w:numPr>
          <w:ilvl w:val="0"/>
          <w:numId w:val="21"/>
        </w:numPr>
        <w:spacing w:after="0" w:line="360" w:lineRule="auto"/>
        <w:jc w:val="both"/>
        <w:rPr>
          <w:rFonts w:ascii="Arial" w:hAnsi="Arial" w:cs="Arial"/>
          <w:color w:val="000000"/>
        </w:rPr>
      </w:pPr>
      <w:r>
        <w:rPr>
          <w:rFonts w:ascii="Arial" w:hAnsi="Arial" w:cs="Arial"/>
          <w:color w:val="000000"/>
          <w:u w:val="single"/>
        </w:rPr>
        <w:t xml:space="preserve">zasad, w zakresie w jakim dotyczą wielu udziałowców (akcjonariuszy) a także zasady określonej w  </w:t>
      </w:r>
      <w:r w:rsidRPr="00AC05F7">
        <w:rPr>
          <w:rFonts w:ascii="Arial" w:hAnsi="Arial" w:cs="Arial"/>
          <w:color w:val="000000"/>
          <w:u w:val="single"/>
        </w:rPr>
        <w:t>§</w:t>
      </w:r>
      <w:r>
        <w:rPr>
          <w:rFonts w:ascii="Arial" w:hAnsi="Arial" w:cs="Arial"/>
          <w:color w:val="000000"/>
          <w:u w:val="single"/>
        </w:rPr>
        <w:t xml:space="preserve"> 8 ust. 4</w:t>
      </w:r>
      <w:r w:rsidRPr="00413C42">
        <w:rPr>
          <w:rFonts w:ascii="Arial" w:hAnsi="Arial" w:cs="Arial"/>
          <w:color w:val="000000"/>
        </w:rPr>
        <w:t xml:space="preserve"> – tj.: „</w:t>
      </w:r>
      <w:r w:rsidRPr="00413C42">
        <w:rPr>
          <w:rFonts w:ascii="Arial" w:hAnsi="Arial" w:cs="Arial"/>
          <w:i/>
          <w:color w:val="000000"/>
        </w:rPr>
        <w:t>Instytucja nadzorowana, gdy jest to uzasadnione liczbą udziałowców, powinna dążyć do ułatwiania udziału wszystkim udziałowcom w zgromadzeniu organu stanowiącego instytucji nadzorowanej, między innymi poprzez zapewnienie możliwości elektronicznego aktywnego udziału w posiedzeniach organu stanowiącego.</w:t>
      </w:r>
      <w:r>
        <w:rPr>
          <w:rFonts w:ascii="Arial" w:hAnsi="Arial" w:cs="Arial"/>
          <w:color w:val="000000"/>
        </w:rPr>
        <w:t>”</w:t>
      </w:r>
    </w:p>
    <w:p w:rsidR="00F22071" w:rsidRPr="00413C42" w:rsidRDefault="00F22071" w:rsidP="00413C42">
      <w:pPr>
        <w:pStyle w:val="Akapitzlist"/>
        <w:keepNext/>
        <w:keepLines/>
        <w:spacing w:after="0" w:line="360" w:lineRule="auto"/>
        <w:jc w:val="both"/>
        <w:rPr>
          <w:rFonts w:ascii="Arial" w:hAnsi="Arial" w:cs="Arial"/>
          <w:color w:val="000000"/>
          <w:sz w:val="10"/>
          <w:szCs w:val="10"/>
          <w:u w:val="single"/>
        </w:rPr>
      </w:pPr>
    </w:p>
    <w:p w:rsidR="00F22071" w:rsidRPr="00413C42" w:rsidRDefault="00F22071" w:rsidP="00413C42">
      <w:pPr>
        <w:pStyle w:val="Akapitzlist"/>
        <w:keepNext/>
        <w:keepLines/>
        <w:spacing w:after="0" w:line="360" w:lineRule="auto"/>
        <w:jc w:val="both"/>
        <w:rPr>
          <w:rFonts w:ascii="Arial" w:hAnsi="Arial" w:cs="Arial"/>
          <w:color w:val="000000"/>
          <w:sz w:val="10"/>
          <w:szCs w:val="10"/>
          <w:u w:val="single"/>
        </w:rPr>
      </w:pPr>
      <w:r w:rsidRPr="00AC05F7">
        <w:rPr>
          <w:rFonts w:ascii="Arial" w:hAnsi="Arial" w:cs="Arial"/>
          <w:color w:val="000000"/>
          <w:u w:val="single"/>
        </w:rPr>
        <w:t>Uzasadnienie</w:t>
      </w:r>
      <w:r>
        <w:rPr>
          <w:rFonts w:ascii="Arial" w:hAnsi="Arial" w:cs="Arial"/>
          <w:color w:val="000000"/>
        </w:rPr>
        <w:t>: uchylenie się od wprowadzenia powyższych zasad podyktowane jest faktem, iż jednym udziałowcem (akcjonariuszem) Domu Maklerskiego Navigator S.A. jest Navigator Capital S.A.</w:t>
      </w:r>
    </w:p>
    <w:p w:rsidR="00F22071" w:rsidRPr="00413C42" w:rsidRDefault="00F22071" w:rsidP="00413C42">
      <w:pPr>
        <w:pStyle w:val="Akapitzlist"/>
        <w:keepNext/>
        <w:keepLines/>
        <w:spacing w:after="0" w:line="360" w:lineRule="auto"/>
        <w:jc w:val="both"/>
        <w:rPr>
          <w:rFonts w:ascii="Arial" w:hAnsi="Arial" w:cs="Arial"/>
          <w:color w:val="000000"/>
          <w:sz w:val="10"/>
          <w:szCs w:val="10"/>
        </w:rPr>
      </w:pPr>
    </w:p>
    <w:p w:rsidR="00D00F1E" w:rsidRDefault="00D00F1E" w:rsidP="00413C42">
      <w:pPr>
        <w:pStyle w:val="Akapitzlist"/>
        <w:keepNext/>
        <w:keepLines/>
        <w:numPr>
          <w:ilvl w:val="0"/>
          <w:numId w:val="21"/>
        </w:numPr>
        <w:spacing w:after="0" w:line="360" w:lineRule="auto"/>
        <w:jc w:val="both"/>
        <w:rPr>
          <w:rFonts w:ascii="Arial" w:hAnsi="Arial" w:cs="Arial"/>
          <w:color w:val="000000"/>
        </w:rPr>
      </w:pPr>
      <w:r w:rsidRPr="00413C42">
        <w:rPr>
          <w:rFonts w:ascii="Arial" w:hAnsi="Arial" w:cs="Arial"/>
          <w:color w:val="000000"/>
          <w:u w:val="single"/>
        </w:rPr>
        <w:t>zasady określonej w § 9 ust. 2</w:t>
      </w:r>
      <w:r>
        <w:rPr>
          <w:rFonts w:ascii="Arial" w:hAnsi="Arial" w:cs="Arial"/>
          <w:color w:val="000000"/>
        </w:rPr>
        <w:t xml:space="preserve"> tj.: „</w:t>
      </w:r>
      <w:r w:rsidRPr="00413C42">
        <w:rPr>
          <w:rFonts w:ascii="Arial" w:hAnsi="Arial" w:cs="Arial"/>
          <w:i/>
          <w:color w:val="000000"/>
        </w:rPr>
        <w:t>Udziałowcy mogą wpływać na funkcjonowanie instytucji nadzorowanej wyłącznie poprzez decyzje organu stanowiącego nie naruszając kompetencji pozostałych organów. Nieuprawnione wywieranie wpływu na organ zarządzający lub nadzorujący powinno zostać zgłoszone Komisji Nadzoru Finansowego.</w:t>
      </w:r>
      <w:r>
        <w:rPr>
          <w:rFonts w:ascii="Arial" w:hAnsi="Arial" w:cs="Arial"/>
          <w:color w:val="000000"/>
        </w:rPr>
        <w:t>”</w:t>
      </w:r>
    </w:p>
    <w:p w:rsidR="00DE66CB" w:rsidRPr="00413C42" w:rsidRDefault="00DE66CB" w:rsidP="00413C42">
      <w:pPr>
        <w:pStyle w:val="Akapitzlist"/>
        <w:keepNext/>
        <w:keepLines/>
        <w:spacing w:after="0" w:line="360" w:lineRule="auto"/>
        <w:jc w:val="both"/>
        <w:rPr>
          <w:rFonts w:ascii="Arial" w:hAnsi="Arial" w:cs="Arial"/>
          <w:color w:val="000000"/>
          <w:sz w:val="10"/>
          <w:szCs w:val="10"/>
        </w:rPr>
      </w:pPr>
    </w:p>
    <w:p w:rsidR="00D00F1E" w:rsidRDefault="00D00F1E" w:rsidP="00413C42">
      <w:pPr>
        <w:pStyle w:val="Akapitzlist"/>
        <w:keepNext/>
        <w:keepLines/>
        <w:spacing w:after="0" w:line="360" w:lineRule="auto"/>
        <w:jc w:val="both"/>
        <w:rPr>
          <w:rFonts w:ascii="Arial" w:hAnsi="Arial" w:cs="Arial"/>
          <w:color w:val="000000"/>
        </w:rPr>
      </w:pPr>
      <w:r w:rsidRPr="00413C42">
        <w:rPr>
          <w:rFonts w:ascii="Arial" w:hAnsi="Arial" w:cs="Arial"/>
          <w:color w:val="000000"/>
          <w:u w:val="single"/>
        </w:rPr>
        <w:lastRenderedPageBreak/>
        <w:t>Uzasadnienie</w:t>
      </w:r>
      <w:r>
        <w:rPr>
          <w:rFonts w:ascii="Arial" w:hAnsi="Arial" w:cs="Arial"/>
          <w:color w:val="000000"/>
        </w:rPr>
        <w:t>: uchylenie się od wprowadzenia powyższej zasady podyktowane jest faktem, iż Prezes Zarządu Domu Maklerskiego Navigator S.A. jest jednocześnie Prezesem podmiotu dominującego (tj. Navigator Capital S.A.) będącego 100% właścicielem Domu Maklerskiego Navigator S.A.</w:t>
      </w:r>
    </w:p>
    <w:p w:rsidR="00D00F1E" w:rsidRPr="00413C42" w:rsidRDefault="00D00F1E" w:rsidP="00413C42">
      <w:pPr>
        <w:pStyle w:val="Akapitzlist"/>
        <w:keepNext/>
        <w:keepLines/>
        <w:spacing w:after="0" w:line="360" w:lineRule="auto"/>
        <w:jc w:val="both"/>
        <w:rPr>
          <w:rFonts w:ascii="Arial" w:hAnsi="Arial" w:cs="Arial"/>
          <w:color w:val="000000"/>
          <w:sz w:val="10"/>
          <w:szCs w:val="10"/>
        </w:rPr>
      </w:pPr>
    </w:p>
    <w:p w:rsidR="00DE66CB" w:rsidRPr="00413C42" w:rsidRDefault="00D00F1E" w:rsidP="00413C42">
      <w:pPr>
        <w:pStyle w:val="Akapitzlist"/>
        <w:keepNext/>
        <w:keepLines/>
        <w:numPr>
          <w:ilvl w:val="0"/>
          <w:numId w:val="21"/>
        </w:numPr>
        <w:spacing w:after="0" w:line="360" w:lineRule="auto"/>
        <w:jc w:val="both"/>
        <w:rPr>
          <w:rFonts w:ascii="Arial" w:hAnsi="Arial" w:cs="Arial"/>
          <w:color w:val="000000"/>
          <w:u w:val="single"/>
        </w:rPr>
      </w:pPr>
      <w:r>
        <w:rPr>
          <w:rFonts w:ascii="Arial" w:hAnsi="Arial" w:cs="Arial"/>
          <w:color w:val="000000"/>
          <w:u w:val="single"/>
        </w:rPr>
        <w:t xml:space="preserve">zasady określonej w </w:t>
      </w:r>
      <w:r w:rsidRPr="00AC05F7">
        <w:rPr>
          <w:rFonts w:ascii="Arial" w:hAnsi="Arial" w:cs="Arial"/>
          <w:color w:val="000000"/>
          <w:u w:val="single"/>
        </w:rPr>
        <w:t>§</w:t>
      </w:r>
      <w:r w:rsidR="00DE66CB">
        <w:rPr>
          <w:rFonts w:ascii="Arial" w:hAnsi="Arial" w:cs="Arial"/>
          <w:color w:val="000000"/>
          <w:u w:val="single"/>
        </w:rPr>
        <w:t xml:space="preserve"> 10 ust. 1</w:t>
      </w:r>
      <w:r w:rsidR="00DE66CB" w:rsidRPr="00413C42">
        <w:rPr>
          <w:rFonts w:ascii="Arial" w:hAnsi="Arial" w:cs="Arial"/>
          <w:color w:val="000000"/>
        </w:rPr>
        <w:t xml:space="preserve"> tj.: </w:t>
      </w:r>
      <w:r w:rsidR="00DE66CB">
        <w:rPr>
          <w:rFonts w:ascii="Arial" w:hAnsi="Arial" w:cs="Arial"/>
          <w:color w:val="000000"/>
        </w:rPr>
        <w:t>„</w:t>
      </w:r>
      <w:r w:rsidR="00DE66CB" w:rsidRPr="00413C42">
        <w:rPr>
          <w:rFonts w:ascii="Arial" w:hAnsi="Arial" w:cs="Arial"/>
          <w:i/>
          <w:color w:val="000000"/>
        </w:rPr>
        <w:t>Udziałowcy nie mogą ingerować w sposób sprawowania zarządu, w tym prowadzenie spraw przez organ zarządzający instytucji nadzorowanej.</w:t>
      </w:r>
      <w:r w:rsidR="00DE66CB">
        <w:rPr>
          <w:rFonts w:ascii="Arial" w:hAnsi="Arial" w:cs="Arial"/>
          <w:color w:val="000000"/>
        </w:rPr>
        <w:t>”</w:t>
      </w:r>
    </w:p>
    <w:p w:rsidR="00DE66CB" w:rsidRPr="00413C42" w:rsidRDefault="00DE66CB" w:rsidP="00413C42">
      <w:pPr>
        <w:keepNext/>
        <w:keepLines/>
        <w:spacing w:after="0" w:line="360" w:lineRule="auto"/>
        <w:ind w:left="357"/>
        <w:jc w:val="both"/>
        <w:rPr>
          <w:rFonts w:ascii="Arial" w:hAnsi="Arial" w:cs="Arial"/>
          <w:color w:val="000000"/>
          <w:sz w:val="10"/>
          <w:szCs w:val="10"/>
          <w:u w:val="single"/>
        </w:rPr>
      </w:pPr>
    </w:p>
    <w:p w:rsidR="00DE66CB" w:rsidRDefault="00DE66CB" w:rsidP="00413C42">
      <w:pPr>
        <w:pStyle w:val="Akapitzlist"/>
        <w:keepNext/>
        <w:keepLines/>
        <w:spacing w:after="0" w:line="360" w:lineRule="auto"/>
        <w:jc w:val="both"/>
        <w:rPr>
          <w:rFonts w:ascii="Arial" w:hAnsi="Arial" w:cs="Arial"/>
          <w:color w:val="000000"/>
        </w:rPr>
      </w:pPr>
      <w:r>
        <w:rPr>
          <w:rFonts w:ascii="Arial" w:hAnsi="Arial" w:cs="Arial"/>
          <w:color w:val="000000"/>
          <w:u w:val="single"/>
        </w:rPr>
        <w:t>Uzasadnienie:</w:t>
      </w:r>
      <w:r>
        <w:rPr>
          <w:rFonts w:ascii="Arial" w:hAnsi="Arial" w:cs="Arial"/>
          <w:color w:val="000000"/>
        </w:rPr>
        <w:t xml:space="preserve"> uchylenie się od wprowadzenia powyższej zasady podyktowane jest faktem, iż Prezes Zarządu Domu Maklerskiego Navigator S.A. jest jednocześnie Prezesem podmiotu dominującego (tj. Navigator Capital S.A.) będącego 100% właścicielem Domu Maklerskiego Navigator S.A.</w:t>
      </w:r>
    </w:p>
    <w:p w:rsidR="00DE66CB" w:rsidRPr="00413C42" w:rsidRDefault="00DE66CB" w:rsidP="00DE66CB">
      <w:pPr>
        <w:pStyle w:val="Akapitzlist"/>
        <w:keepNext/>
        <w:keepLines/>
        <w:numPr>
          <w:ilvl w:val="0"/>
          <w:numId w:val="21"/>
        </w:numPr>
        <w:spacing w:after="0" w:line="360" w:lineRule="auto"/>
        <w:jc w:val="both"/>
        <w:rPr>
          <w:rFonts w:ascii="Arial" w:hAnsi="Arial" w:cs="Arial"/>
          <w:color w:val="000000"/>
          <w:u w:val="single"/>
        </w:rPr>
      </w:pPr>
      <w:r>
        <w:rPr>
          <w:rFonts w:ascii="Arial" w:hAnsi="Arial" w:cs="Arial"/>
          <w:color w:val="000000"/>
          <w:u w:val="single"/>
        </w:rPr>
        <w:t xml:space="preserve">zasady określonej w </w:t>
      </w:r>
      <w:r w:rsidRPr="00AC05F7">
        <w:rPr>
          <w:rFonts w:ascii="Arial" w:hAnsi="Arial" w:cs="Arial"/>
          <w:color w:val="000000"/>
          <w:u w:val="single"/>
        </w:rPr>
        <w:t>§</w:t>
      </w:r>
      <w:r>
        <w:rPr>
          <w:rFonts w:ascii="Arial" w:hAnsi="Arial" w:cs="Arial"/>
          <w:color w:val="000000"/>
          <w:u w:val="single"/>
        </w:rPr>
        <w:t xml:space="preserve"> 17 ust. 1</w:t>
      </w:r>
      <w:r w:rsidRPr="00413C42">
        <w:rPr>
          <w:rFonts w:ascii="Arial" w:hAnsi="Arial" w:cs="Arial"/>
          <w:color w:val="000000"/>
        </w:rPr>
        <w:t xml:space="preserve"> tj.: </w:t>
      </w:r>
      <w:r>
        <w:rPr>
          <w:rFonts w:ascii="Arial" w:hAnsi="Arial" w:cs="Arial"/>
          <w:color w:val="000000"/>
          <w:u w:val="single"/>
        </w:rPr>
        <w:t>„</w:t>
      </w:r>
      <w:r w:rsidRPr="00413C42">
        <w:rPr>
          <w:rFonts w:ascii="Arial" w:hAnsi="Arial" w:cs="Arial"/>
          <w:i/>
          <w:color w:val="000000"/>
        </w:rPr>
        <w:t>Pełnienie funkcji w organie zarządzającym powinno stanowić główny obszar aktywności zawodowej członka organu zarządzającego. Dodatkowa aktywność zawodowa członka organu zarządzającego poza instytucją nadzorowaną nie powinna prowadzić do takiego zaangażowania czasu i nakładu pracy, aby negatywnie wpływać na właściwe wykonywanie pełnionej funkcji przez tę osobę w organie zarządzającym instytucji nadzorowanej.</w:t>
      </w:r>
      <w:r>
        <w:rPr>
          <w:rFonts w:ascii="Arial" w:hAnsi="Arial" w:cs="Arial"/>
          <w:color w:val="000000"/>
        </w:rPr>
        <w:t>”</w:t>
      </w:r>
    </w:p>
    <w:p w:rsidR="00DE66CB" w:rsidRPr="00413C42" w:rsidRDefault="00DE66CB" w:rsidP="00413C42">
      <w:pPr>
        <w:pStyle w:val="Akapitzlist"/>
        <w:keepNext/>
        <w:keepLines/>
        <w:spacing w:after="0" w:line="360" w:lineRule="auto"/>
        <w:jc w:val="both"/>
        <w:rPr>
          <w:rFonts w:ascii="Arial" w:hAnsi="Arial" w:cs="Arial"/>
          <w:color w:val="000000"/>
          <w:sz w:val="10"/>
          <w:szCs w:val="10"/>
          <w:u w:val="single"/>
        </w:rPr>
      </w:pPr>
    </w:p>
    <w:p w:rsidR="00DE66CB" w:rsidRDefault="00DE66CB" w:rsidP="00413C42">
      <w:pPr>
        <w:pStyle w:val="Akapitzlist"/>
        <w:keepNext/>
        <w:keepLines/>
        <w:spacing w:after="0" w:line="360" w:lineRule="auto"/>
        <w:jc w:val="both"/>
        <w:rPr>
          <w:rFonts w:ascii="Arial" w:hAnsi="Arial" w:cs="Arial"/>
          <w:color w:val="000000"/>
        </w:rPr>
      </w:pPr>
      <w:r w:rsidRPr="00413C42">
        <w:rPr>
          <w:rFonts w:ascii="Arial" w:hAnsi="Arial" w:cs="Arial"/>
          <w:color w:val="000000"/>
          <w:u w:val="single"/>
        </w:rPr>
        <w:t>Uzasadnienie:</w:t>
      </w:r>
      <w:r w:rsidRPr="00413C42">
        <w:rPr>
          <w:rFonts w:ascii="Arial" w:hAnsi="Arial" w:cs="Arial"/>
          <w:color w:val="000000"/>
        </w:rPr>
        <w:t xml:space="preserve"> uchylenie się od wprowadzenia powyższej zasady podyktowane jest faktem, iż Prezes Zarządu Domu Maklerskiego Navigator S.A. jest jednocześnie Prezesem podmiotu dominującego (tj. Navigator Capital S.A.) będącego 100% właścicielem Domu Maklerskiego Navigator S.A.</w:t>
      </w:r>
      <w:r>
        <w:rPr>
          <w:rFonts w:ascii="Arial" w:hAnsi="Arial" w:cs="Arial"/>
          <w:color w:val="000000"/>
        </w:rPr>
        <w:t xml:space="preserve"> Fakt niestosowania zasady nie wpływa negatywnie na właściwe wykonywanie pełnionej funkcji przez tę osobę w organie zarządzającym Domem Maklerskim Navigator S.A.</w:t>
      </w:r>
    </w:p>
    <w:p w:rsidR="00DE66CB" w:rsidRPr="00413C42" w:rsidRDefault="00DE66CB" w:rsidP="00413C42">
      <w:pPr>
        <w:keepNext/>
        <w:keepLines/>
        <w:spacing w:after="0" w:line="360" w:lineRule="auto"/>
        <w:jc w:val="both"/>
        <w:rPr>
          <w:rFonts w:ascii="Arial" w:hAnsi="Arial" w:cs="Arial"/>
          <w:color w:val="000000"/>
          <w:sz w:val="10"/>
          <w:szCs w:val="10"/>
        </w:rPr>
      </w:pPr>
    </w:p>
    <w:p w:rsidR="00DE66CB" w:rsidRPr="00413C42" w:rsidRDefault="00DE66CB" w:rsidP="00413C42">
      <w:pPr>
        <w:pStyle w:val="Akapitzlist"/>
        <w:keepNext/>
        <w:keepLines/>
        <w:numPr>
          <w:ilvl w:val="0"/>
          <w:numId w:val="21"/>
        </w:numPr>
        <w:spacing w:after="0" w:line="360" w:lineRule="auto"/>
        <w:jc w:val="both"/>
        <w:rPr>
          <w:rFonts w:ascii="Arial" w:hAnsi="Arial" w:cs="Arial"/>
          <w:color w:val="000000"/>
          <w:u w:val="single"/>
        </w:rPr>
      </w:pPr>
      <w:r>
        <w:rPr>
          <w:rFonts w:ascii="Arial" w:hAnsi="Arial" w:cs="Arial"/>
          <w:color w:val="000000"/>
          <w:u w:val="single"/>
        </w:rPr>
        <w:t xml:space="preserve">zasady określonej w </w:t>
      </w:r>
      <w:r w:rsidRPr="00AC05F7">
        <w:rPr>
          <w:rFonts w:ascii="Arial" w:hAnsi="Arial" w:cs="Arial"/>
          <w:color w:val="000000"/>
          <w:u w:val="single"/>
        </w:rPr>
        <w:t>§</w:t>
      </w:r>
      <w:r>
        <w:rPr>
          <w:rFonts w:ascii="Arial" w:hAnsi="Arial" w:cs="Arial"/>
          <w:color w:val="000000"/>
          <w:u w:val="single"/>
        </w:rPr>
        <w:t xml:space="preserve"> 51 ust. 2</w:t>
      </w:r>
      <w:r w:rsidRPr="00413C42">
        <w:rPr>
          <w:rFonts w:ascii="Arial" w:hAnsi="Arial" w:cs="Arial"/>
          <w:color w:val="000000"/>
        </w:rPr>
        <w:t xml:space="preserve"> tj.: </w:t>
      </w:r>
      <w:r>
        <w:rPr>
          <w:rFonts w:ascii="Arial" w:hAnsi="Arial" w:cs="Arial"/>
          <w:color w:val="000000"/>
        </w:rPr>
        <w:t>„</w:t>
      </w:r>
      <w:r w:rsidRPr="00413C42">
        <w:rPr>
          <w:rFonts w:ascii="Arial" w:hAnsi="Arial" w:cs="Arial"/>
          <w:i/>
          <w:color w:val="000000"/>
        </w:rPr>
        <w:t>Członkowie organu zarządzającego, uwzględniając charakter, skalę i złożoność prowadzonej działalności nie powinni łączyć odpowiedzialności za zarządzanie danym ryzykiem z odpowiedzialnością za obszar działalności generujący to ryzyko.</w:t>
      </w:r>
      <w:r>
        <w:rPr>
          <w:rFonts w:ascii="Arial" w:hAnsi="Arial" w:cs="Arial"/>
          <w:color w:val="000000"/>
        </w:rPr>
        <w:t>”</w:t>
      </w:r>
    </w:p>
    <w:p w:rsidR="00DE66CB" w:rsidRPr="00413C42" w:rsidRDefault="00DE66CB" w:rsidP="00413C42">
      <w:pPr>
        <w:pStyle w:val="Akapitzlist"/>
        <w:keepNext/>
        <w:keepLines/>
        <w:spacing w:after="0" w:line="360" w:lineRule="auto"/>
        <w:jc w:val="both"/>
        <w:rPr>
          <w:rFonts w:ascii="Arial" w:hAnsi="Arial" w:cs="Arial"/>
          <w:color w:val="000000"/>
          <w:sz w:val="10"/>
          <w:szCs w:val="10"/>
          <w:u w:val="single"/>
        </w:rPr>
      </w:pPr>
    </w:p>
    <w:p w:rsidR="00DE66CB" w:rsidRDefault="00DE66CB" w:rsidP="00413C42">
      <w:pPr>
        <w:pStyle w:val="Akapitzlist"/>
        <w:keepNext/>
        <w:keepLines/>
        <w:spacing w:after="0" w:line="360" w:lineRule="auto"/>
        <w:jc w:val="both"/>
        <w:rPr>
          <w:rFonts w:ascii="Arial" w:hAnsi="Arial" w:cs="Arial"/>
          <w:color w:val="000000"/>
        </w:rPr>
      </w:pPr>
      <w:r w:rsidRPr="00AC05F7">
        <w:rPr>
          <w:rFonts w:ascii="Arial" w:hAnsi="Arial" w:cs="Arial"/>
          <w:color w:val="000000"/>
          <w:u w:val="single"/>
        </w:rPr>
        <w:t>Uzasadnienie:</w:t>
      </w:r>
      <w:r w:rsidRPr="00AC05F7">
        <w:rPr>
          <w:rFonts w:ascii="Arial" w:hAnsi="Arial" w:cs="Arial"/>
          <w:color w:val="000000"/>
        </w:rPr>
        <w:t xml:space="preserve"> uchylenie</w:t>
      </w:r>
      <w:r>
        <w:rPr>
          <w:rFonts w:ascii="Arial" w:hAnsi="Arial" w:cs="Arial"/>
          <w:color w:val="000000"/>
        </w:rPr>
        <w:t xml:space="preserve"> się od wprowadzenia powyższej zasady podyktowane jest zasadą proporcjonalności tj. </w:t>
      </w:r>
      <w:r w:rsidR="00F22071">
        <w:rPr>
          <w:rFonts w:ascii="Arial" w:hAnsi="Arial" w:cs="Arial"/>
          <w:color w:val="000000"/>
        </w:rPr>
        <w:t>niewielką strukturą organizacyjną Domu Maklerskiego Navigator S.A.</w:t>
      </w:r>
    </w:p>
    <w:p w:rsidR="00F22071" w:rsidRPr="00413C42" w:rsidRDefault="00F22071" w:rsidP="00413C42">
      <w:pPr>
        <w:pStyle w:val="Akapitzlist"/>
        <w:keepNext/>
        <w:keepLines/>
        <w:spacing w:after="0" w:line="360" w:lineRule="auto"/>
        <w:jc w:val="both"/>
        <w:rPr>
          <w:rFonts w:ascii="Arial" w:hAnsi="Arial" w:cs="Arial"/>
          <w:sz w:val="10"/>
          <w:szCs w:val="10"/>
        </w:rPr>
      </w:pPr>
    </w:p>
    <w:p w:rsidR="00F22071" w:rsidRPr="00413C42" w:rsidRDefault="00F22071" w:rsidP="00413C42">
      <w:pPr>
        <w:pStyle w:val="Akapitzlist"/>
        <w:keepNext/>
        <w:keepLines/>
        <w:numPr>
          <w:ilvl w:val="0"/>
          <w:numId w:val="21"/>
        </w:numPr>
        <w:spacing w:after="0" w:line="360" w:lineRule="auto"/>
        <w:jc w:val="both"/>
        <w:rPr>
          <w:rFonts w:ascii="Arial" w:hAnsi="Arial" w:cs="Arial"/>
          <w:color w:val="000000"/>
          <w:u w:val="single"/>
        </w:rPr>
      </w:pPr>
      <w:r>
        <w:rPr>
          <w:rFonts w:ascii="Arial" w:hAnsi="Arial" w:cs="Arial"/>
          <w:color w:val="000000"/>
          <w:u w:val="single"/>
        </w:rPr>
        <w:t xml:space="preserve">zasad określonych w </w:t>
      </w:r>
      <w:r w:rsidRPr="00AC05F7">
        <w:rPr>
          <w:rFonts w:ascii="Arial" w:hAnsi="Arial" w:cs="Arial"/>
          <w:color w:val="000000"/>
          <w:u w:val="single"/>
        </w:rPr>
        <w:t>§</w:t>
      </w:r>
      <w:r>
        <w:rPr>
          <w:rFonts w:ascii="Arial" w:hAnsi="Arial" w:cs="Arial"/>
          <w:color w:val="000000"/>
          <w:u w:val="single"/>
        </w:rPr>
        <w:t xml:space="preserve"> </w:t>
      </w:r>
      <w:r w:rsidR="00D907BD">
        <w:rPr>
          <w:rFonts w:ascii="Arial" w:hAnsi="Arial" w:cs="Arial"/>
          <w:color w:val="000000"/>
          <w:u w:val="single"/>
        </w:rPr>
        <w:t>53 - 57</w:t>
      </w:r>
      <w:r w:rsidR="00D907BD" w:rsidRPr="00413C42">
        <w:rPr>
          <w:rFonts w:ascii="Arial" w:hAnsi="Arial" w:cs="Arial"/>
          <w:color w:val="000000"/>
        </w:rPr>
        <w:t xml:space="preserve"> (Rozdział 9 Zasad – Wykonywanie uprawnień z aktywów nabytych na ryzyko klienta)</w:t>
      </w:r>
      <w:r w:rsidR="00D907BD">
        <w:rPr>
          <w:rFonts w:ascii="Arial" w:hAnsi="Arial" w:cs="Arial"/>
          <w:color w:val="000000"/>
        </w:rPr>
        <w:t>.</w:t>
      </w:r>
    </w:p>
    <w:p w:rsidR="00D907BD" w:rsidRPr="00413C42" w:rsidRDefault="00D907BD" w:rsidP="00413C42">
      <w:pPr>
        <w:pStyle w:val="Akapitzlist"/>
        <w:keepNext/>
        <w:keepLines/>
        <w:spacing w:after="0" w:line="360" w:lineRule="auto"/>
        <w:jc w:val="both"/>
        <w:rPr>
          <w:rFonts w:ascii="Arial" w:hAnsi="Arial" w:cs="Arial"/>
          <w:color w:val="000000"/>
          <w:sz w:val="10"/>
          <w:szCs w:val="10"/>
          <w:u w:val="single"/>
        </w:rPr>
      </w:pPr>
    </w:p>
    <w:p w:rsidR="00D907BD" w:rsidRDefault="00D907BD" w:rsidP="00413C42">
      <w:pPr>
        <w:pStyle w:val="Akapitzlist"/>
        <w:keepNext/>
        <w:keepLines/>
        <w:spacing w:after="0" w:line="360" w:lineRule="auto"/>
        <w:jc w:val="both"/>
        <w:rPr>
          <w:rFonts w:ascii="Arial" w:hAnsi="Arial" w:cs="Arial"/>
          <w:color w:val="000000"/>
        </w:rPr>
      </w:pPr>
      <w:r>
        <w:rPr>
          <w:rFonts w:ascii="Arial" w:hAnsi="Arial" w:cs="Arial"/>
          <w:color w:val="000000"/>
          <w:u w:val="single"/>
        </w:rPr>
        <w:lastRenderedPageBreak/>
        <w:t>Uzasadnienie:</w:t>
      </w:r>
      <w:r w:rsidRPr="00413C42">
        <w:rPr>
          <w:rFonts w:ascii="Arial" w:hAnsi="Arial" w:cs="Arial"/>
          <w:color w:val="000000"/>
        </w:rPr>
        <w:t xml:space="preserve"> uchylenie się od wprowadzenia powyższych zasad podyktowane jest faktem, iż Dom Maklerski Navigator S.A. nie prowadzi działalności w tym zakresie.</w:t>
      </w:r>
    </w:p>
    <w:p w:rsidR="00294C18" w:rsidRDefault="00294C18" w:rsidP="00413C42">
      <w:pPr>
        <w:pStyle w:val="Akapitzlist"/>
        <w:keepNext/>
        <w:keepLines/>
        <w:spacing w:after="0" w:line="360" w:lineRule="auto"/>
        <w:jc w:val="both"/>
        <w:rPr>
          <w:rFonts w:ascii="Arial" w:hAnsi="Arial" w:cs="Arial"/>
        </w:rPr>
      </w:pPr>
    </w:p>
    <w:p w:rsidR="00294C18" w:rsidRDefault="00294C18" w:rsidP="00413C42">
      <w:pPr>
        <w:pStyle w:val="Akapitzlist"/>
        <w:keepNext/>
        <w:keepLines/>
        <w:numPr>
          <w:ilvl w:val="0"/>
          <w:numId w:val="20"/>
        </w:numPr>
        <w:spacing w:after="0" w:line="360" w:lineRule="auto"/>
        <w:jc w:val="both"/>
        <w:rPr>
          <w:rFonts w:ascii="Arial" w:hAnsi="Arial" w:cs="Arial"/>
          <w:b/>
          <w:color w:val="000000"/>
        </w:rPr>
      </w:pPr>
      <w:r>
        <w:rPr>
          <w:rFonts w:ascii="Arial" w:hAnsi="Arial" w:cs="Arial"/>
          <w:b/>
          <w:color w:val="000000"/>
        </w:rPr>
        <w:t>Rozszerzenia stosowania Zasad</w:t>
      </w:r>
    </w:p>
    <w:p w:rsidR="00294C18" w:rsidRPr="00413C42" w:rsidRDefault="00294C18" w:rsidP="00413C42">
      <w:pPr>
        <w:keepNext/>
        <w:keepLines/>
        <w:spacing w:after="0" w:line="360" w:lineRule="auto"/>
        <w:jc w:val="both"/>
        <w:rPr>
          <w:rFonts w:ascii="Arial" w:hAnsi="Arial" w:cs="Arial"/>
          <w:b/>
          <w:color w:val="000000"/>
          <w:sz w:val="10"/>
          <w:szCs w:val="10"/>
        </w:rPr>
      </w:pPr>
    </w:p>
    <w:p w:rsidR="001A0895" w:rsidRDefault="001A0895" w:rsidP="001A0895">
      <w:pPr>
        <w:keepNext/>
        <w:keepLines/>
        <w:spacing w:after="0" w:line="360" w:lineRule="auto"/>
        <w:jc w:val="both"/>
        <w:rPr>
          <w:rFonts w:ascii="Arial" w:hAnsi="Arial" w:cs="Arial"/>
          <w:color w:val="000000"/>
        </w:rPr>
      </w:pPr>
      <w:r w:rsidRPr="00413C42">
        <w:rPr>
          <w:rFonts w:ascii="Arial" w:hAnsi="Arial" w:cs="Arial"/>
          <w:color w:val="000000"/>
        </w:rPr>
        <w:t xml:space="preserve">W trakcie 2015 r. </w:t>
      </w:r>
      <w:r>
        <w:rPr>
          <w:rFonts w:ascii="Arial" w:hAnsi="Arial" w:cs="Arial"/>
          <w:color w:val="000000"/>
        </w:rPr>
        <w:t xml:space="preserve">nie miały miejsca zdarzenia rozszerzenia stosowania Zasad, a przesłanki do wyłączenia ze stosowania pozostałych Zasad, o których mowa w pkt 1 pozostawały nadal aktualne. </w:t>
      </w:r>
      <w:r w:rsidR="00703AC0">
        <w:rPr>
          <w:rFonts w:ascii="Arial" w:hAnsi="Arial" w:cs="Arial"/>
          <w:color w:val="000000"/>
        </w:rPr>
        <w:t>W 2015 r. występowały jednak działania dostosowawcze do stosowania zadeklarowanych Zasad</w:t>
      </w:r>
      <w:r w:rsidR="00240A83">
        <w:rPr>
          <w:rFonts w:ascii="Arial" w:hAnsi="Arial" w:cs="Arial"/>
          <w:color w:val="000000"/>
        </w:rPr>
        <w:t>, co zostało odpowiednio wskazane w tabeli poniżej.</w:t>
      </w:r>
    </w:p>
    <w:p w:rsidR="001A0895" w:rsidRDefault="001A0895" w:rsidP="001A0895">
      <w:pPr>
        <w:keepNext/>
        <w:keepLines/>
        <w:spacing w:after="0" w:line="360" w:lineRule="auto"/>
        <w:jc w:val="both"/>
        <w:rPr>
          <w:rFonts w:ascii="Arial" w:hAnsi="Arial" w:cs="Arial"/>
          <w:color w:val="000000"/>
        </w:rPr>
      </w:pPr>
    </w:p>
    <w:p w:rsidR="00294C18" w:rsidRDefault="00294C18" w:rsidP="00413C42">
      <w:pPr>
        <w:pStyle w:val="Akapitzlist"/>
        <w:keepNext/>
        <w:keepLines/>
        <w:numPr>
          <w:ilvl w:val="0"/>
          <w:numId w:val="20"/>
        </w:numPr>
        <w:spacing w:after="0" w:line="360" w:lineRule="auto"/>
        <w:jc w:val="both"/>
        <w:rPr>
          <w:rFonts w:ascii="Arial" w:hAnsi="Arial" w:cs="Arial"/>
          <w:b/>
          <w:color w:val="000000"/>
        </w:rPr>
      </w:pPr>
      <w:r>
        <w:rPr>
          <w:rFonts w:ascii="Arial" w:hAnsi="Arial" w:cs="Arial"/>
          <w:b/>
          <w:color w:val="000000"/>
        </w:rPr>
        <w:t>Ocena stosowania Zasad</w:t>
      </w:r>
    </w:p>
    <w:p w:rsidR="00294C18" w:rsidRDefault="00294C18" w:rsidP="00413C42">
      <w:pPr>
        <w:pStyle w:val="Akapitzlist"/>
        <w:keepNext/>
        <w:keepLines/>
        <w:spacing w:after="0" w:line="360" w:lineRule="auto"/>
        <w:jc w:val="both"/>
        <w:rPr>
          <w:rFonts w:ascii="Arial" w:hAnsi="Arial" w:cs="Arial"/>
          <w:b/>
          <w:color w:val="000000"/>
        </w:rPr>
      </w:pPr>
    </w:p>
    <w:p w:rsidR="00294C18" w:rsidRDefault="00294C18" w:rsidP="00413C42">
      <w:pPr>
        <w:keepNext/>
        <w:keepLines/>
        <w:spacing w:after="0" w:line="360" w:lineRule="auto"/>
        <w:jc w:val="both"/>
        <w:rPr>
          <w:rFonts w:ascii="Arial" w:hAnsi="Arial" w:cs="Arial"/>
          <w:color w:val="000000"/>
        </w:rPr>
      </w:pPr>
      <w:r>
        <w:rPr>
          <w:rFonts w:ascii="Arial" w:hAnsi="Arial" w:cs="Arial"/>
          <w:color w:val="000000"/>
        </w:rPr>
        <w:t>W przypadku braku wskazania w niniejszym punkcie na konkretną zasadę</w:t>
      </w:r>
      <w:r w:rsidR="00523A43">
        <w:rPr>
          <w:rFonts w:ascii="Arial" w:hAnsi="Arial" w:cs="Arial"/>
          <w:color w:val="000000"/>
        </w:rPr>
        <w:t xml:space="preserve"> (z wyłączeniem zasad wylistowanych w pkt 1)</w:t>
      </w:r>
      <w:r>
        <w:rPr>
          <w:rFonts w:ascii="Arial" w:hAnsi="Arial" w:cs="Arial"/>
          <w:color w:val="000000"/>
        </w:rPr>
        <w:t xml:space="preserve"> oznacza to, iż zasada ta została zaimplementowana i jest przestrzegana w Navigator, a działania będące przejawem wykonywania zasady nie wymagają osobnego opisu.</w:t>
      </w:r>
    </w:p>
    <w:p w:rsidR="00DF34C3" w:rsidRDefault="00DF34C3" w:rsidP="00413C42">
      <w:pPr>
        <w:keepNext/>
        <w:keepLines/>
        <w:spacing w:after="0" w:line="360" w:lineRule="auto"/>
        <w:jc w:val="both"/>
        <w:rPr>
          <w:rFonts w:ascii="Arial" w:hAnsi="Arial" w:cs="Arial"/>
          <w:color w:val="000000"/>
        </w:rPr>
      </w:pPr>
    </w:p>
    <w:tbl>
      <w:tblPr>
        <w:tblStyle w:val="Tabela-Siatka"/>
        <w:tblW w:w="9846" w:type="dxa"/>
        <w:tblLook w:val="04A0" w:firstRow="1" w:lastRow="0" w:firstColumn="1" w:lastColumn="0" w:noHBand="0" w:noVBand="1"/>
      </w:tblPr>
      <w:tblGrid>
        <w:gridCol w:w="1697"/>
        <w:gridCol w:w="546"/>
        <w:gridCol w:w="1244"/>
        <w:gridCol w:w="6359"/>
      </w:tblGrid>
      <w:tr w:rsidR="001261D1" w:rsidRPr="00DB6589" w:rsidTr="00413C42">
        <w:tc>
          <w:tcPr>
            <w:tcW w:w="1697" w:type="dxa"/>
          </w:tcPr>
          <w:p w:rsidR="001261D1" w:rsidRPr="00751643" w:rsidRDefault="001261D1" w:rsidP="003751B0">
            <w:pPr>
              <w:jc w:val="center"/>
              <w:rPr>
                <w:rFonts w:ascii="Arial" w:hAnsi="Arial" w:cs="Arial"/>
                <w:b/>
                <w:color w:val="000000" w:themeColor="text1"/>
              </w:rPr>
            </w:pPr>
            <w:r w:rsidRPr="00751643">
              <w:rPr>
                <w:rFonts w:ascii="Arial" w:hAnsi="Arial" w:cs="Arial"/>
                <w:b/>
                <w:color w:val="000000" w:themeColor="text1"/>
              </w:rPr>
              <w:t>Rozdział Zasad</w:t>
            </w:r>
          </w:p>
        </w:tc>
        <w:tc>
          <w:tcPr>
            <w:tcW w:w="546" w:type="dxa"/>
          </w:tcPr>
          <w:p w:rsidR="001261D1" w:rsidRPr="00751643" w:rsidRDefault="001261D1" w:rsidP="003751B0">
            <w:pPr>
              <w:jc w:val="center"/>
              <w:rPr>
                <w:rFonts w:ascii="Arial" w:hAnsi="Arial" w:cs="Arial"/>
                <w:b/>
                <w:color w:val="000000" w:themeColor="text1"/>
              </w:rPr>
            </w:pPr>
            <w:r w:rsidRPr="00751643">
              <w:rPr>
                <w:rFonts w:ascii="Arial" w:hAnsi="Arial" w:cs="Arial"/>
                <w:b/>
                <w:color w:val="000000" w:themeColor="text1"/>
              </w:rPr>
              <w:t>Lp.</w:t>
            </w:r>
          </w:p>
        </w:tc>
        <w:tc>
          <w:tcPr>
            <w:tcW w:w="1244" w:type="dxa"/>
          </w:tcPr>
          <w:p w:rsidR="001261D1" w:rsidRPr="00751643" w:rsidRDefault="001261D1" w:rsidP="003751B0">
            <w:pPr>
              <w:jc w:val="center"/>
              <w:rPr>
                <w:rFonts w:ascii="Arial" w:hAnsi="Arial" w:cs="Arial"/>
                <w:b/>
                <w:color w:val="000000" w:themeColor="text1"/>
              </w:rPr>
            </w:pPr>
            <w:r w:rsidRPr="00751643">
              <w:rPr>
                <w:rFonts w:ascii="Arial" w:hAnsi="Arial" w:cs="Arial"/>
                <w:b/>
                <w:color w:val="000000" w:themeColor="text1"/>
              </w:rPr>
              <w:t>Podstawa prawna Zasad</w:t>
            </w:r>
          </w:p>
        </w:tc>
        <w:tc>
          <w:tcPr>
            <w:tcW w:w="6359" w:type="dxa"/>
          </w:tcPr>
          <w:p w:rsidR="001261D1" w:rsidRPr="00751643" w:rsidRDefault="001261D1" w:rsidP="003751B0">
            <w:pPr>
              <w:jc w:val="center"/>
              <w:rPr>
                <w:rFonts w:ascii="Arial" w:hAnsi="Arial" w:cs="Arial"/>
                <w:b/>
                <w:color w:val="000000" w:themeColor="text1"/>
              </w:rPr>
            </w:pPr>
            <w:r w:rsidRPr="00751643">
              <w:rPr>
                <w:rFonts w:ascii="Arial" w:hAnsi="Arial" w:cs="Arial"/>
                <w:b/>
                <w:color w:val="000000" w:themeColor="text1"/>
              </w:rPr>
              <w:t>Ocena stopnia implementacji</w:t>
            </w:r>
          </w:p>
        </w:tc>
      </w:tr>
      <w:tr w:rsidR="001261D1" w:rsidRPr="00DB6589" w:rsidTr="00413C42">
        <w:tc>
          <w:tcPr>
            <w:tcW w:w="1697" w:type="dxa"/>
          </w:tcPr>
          <w:p w:rsidR="001261D1" w:rsidRPr="00751643" w:rsidRDefault="001261D1" w:rsidP="003751B0">
            <w:pPr>
              <w:rPr>
                <w:rFonts w:ascii="Arial" w:hAnsi="Arial" w:cs="Arial"/>
                <w:color w:val="000000" w:themeColor="text1"/>
              </w:rPr>
            </w:pPr>
            <w:r w:rsidRPr="00751643">
              <w:rPr>
                <w:rFonts w:ascii="Arial" w:hAnsi="Arial" w:cs="Arial"/>
                <w:color w:val="000000" w:themeColor="text1"/>
              </w:rPr>
              <w:t>Rozdział 1</w:t>
            </w:r>
          </w:p>
          <w:p w:rsidR="001261D1" w:rsidRPr="00751643" w:rsidRDefault="001261D1" w:rsidP="003751B0">
            <w:pPr>
              <w:rPr>
                <w:rFonts w:ascii="Arial" w:hAnsi="Arial" w:cs="Arial"/>
                <w:color w:val="000000" w:themeColor="text1"/>
              </w:rPr>
            </w:pPr>
            <w:r w:rsidRPr="00751643">
              <w:rPr>
                <w:rFonts w:ascii="Arial" w:hAnsi="Arial" w:cs="Arial"/>
                <w:color w:val="000000" w:themeColor="text1"/>
              </w:rPr>
              <w:t>Organizacja i struktura organizacyjna</w:t>
            </w:r>
          </w:p>
        </w:tc>
        <w:tc>
          <w:tcPr>
            <w:tcW w:w="546" w:type="dxa"/>
          </w:tcPr>
          <w:p w:rsidR="001261D1" w:rsidRPr="00751643" w:rsidRDefault="001261D1" w:rsidP="003751B0">
            <w:pPr>
              <w:rPr>
                <w:rFonts w:ascii="Arial" w:hAnsi="Arial" w:cs="Arial"/>
                <w:color w:val="000000" w:themeColor="text1"/>
              </w:rPr>
            </w:pPr>
            <w:r w:rsidRPr="00751643">
              <w:rPr>
                <w:rFonts w:ascii="Arial" w:hAnsi="Arial" w:cs="Arial"/>
                <w:color w:val="000000" w:themeColor="text1"/>
              </w:rPr>
              <w:t>1</w:t>
            </w:r>
          </w:p>
        </w:tc>
        <w:tc>
          <w:tcPr>
            <w:tcW w:w="1244" w:type="dxa"/>
          </w:tcPr>
          <w:p w:rsidR="001261D1" w:rsidRPr="00751643" w:rsidRDefault="001261D1" w:rsidP="003751B0">
            <w:pPr>
              <w:rPr>
                <w:rFonts w:ascii="Arial" w:hAnsi="Arial" w:cs="Arial"/>
                <w:color w:val="000000" w:themeColor="text1"/>
              </w:rPr>
            </w:pPr>
            <w:r w:rsidRPr="00751643">
              <w:rPr>
                <w:rFonts w:ascii="Arial" w:hAnsi="Arial" w:cs="Arial"/>
                <w:color w:val="000000" w:themeColor="text1"/>
                <w:shd w:val="clear" w:color="auto" w:fill="FFFFFF"/>
              </w:rPr>
              <w:t>§ 1 ust. 2</w:t>
            </w:r>
            <w:r w:rsidR="000C39E9" w:rsidRPr="00751643">
              <w:rPr>
                <w:rStyle w:val="apple-converted-space"/>
                <w:rFonts w:ascii="Arial" w:hAnsi="Arial" w:cs="Arial"/>
              </w:rPr>
              <w:t xml:space="preserve"> </w:t>
            </w:r>
            <w:r w:rsidRPr="00751643">
              <w:rPr>
                <w:rFonts w:ascii="Arial" w:hAnsi="Arial" w:cs="Arial"/>
                <w:color w:val="000000" w:themeColor="text1"/>
                <w:shd w:val="clear" w:color="auto" w:fill="FFFFFF"/>
              </w:rPr>
              <w:t>§ 4 ust. 2-3</w:t>
            </w:r>
          </w:p>
        </w:tc>
        <w:tc>
          <w:tcPr>
            <w:tcW w:w="6359" w:type="dxa"/>
          </w:tcPr>
          <w:p w:rsidR="00827EAE" w:rsidRPr="00751643" w:rsidRDefault="001261D1" w:rsidP="003751B0">
            <w:pPr>
              <w:rPr>
                <w:rFonts w:ascii="Arial" w:hAnsi="Arial" w:cs="Arial"/>
                <w:color w:val="000000" w:themeColor="text1"/>
              </w:rPr>
            </w:pPr>
            <w:r w:rsidRPr="00751643">
              <w:rPr>
                <w:rFonts w:ascii="Arial" w:hAnsi="Arial" w:cs="Arial"/>
                <w:color w:val="000000" w:themeColor="text1"/>
              </w:rPr>
              <w:t>Zasady</w:t>
            </w:r>
            <w:r w:rsidR="003751B0" w:rsidRPr="00751643">
              <w:rPr>
                <w:rFonts w:ascii="Arial" w:hAnsi="Arial" w:cs="Arial"/>
                <w:color w:val="000000" w:themeColor="text1"/>
              </w:rPr>
              <w:t xml:space="preserve"> zostały zaimplementowane; w przypadku wystąpienia zmian nieustannie trwa </w:t>
            </w:r>
            <w:r w:rsidRPr="00751643">
              <w:rPr>
                <w:rFonts w:ascii="Arial" w:hAnsi="Arial" w:cs="Arial"/>
                <w:color w:val="000000" w:themeColor="text1"/>
              </w:rPr>
              <w:t>doskonalenie implementacji</w:t>
            </w:r>
            <w:r w:rsidR="003751B0" w:rsidRPr="00751643">
              <w:rPr>
                <w:rFonts w:ascii="Arial" w:hAnsi="Arial" w:cs="Arial"/>
                <w:color w:val="000000" w:themeColor="text1"/>
              </w:rPr>
              <w:t>.</w:t>
            </w:r>
            <w:r w:rsidRPr="00751643">
              <w:rPr>
                <w:rFonts w:ascii="Arial" w:hAnsi="Arial" w:cs="Arial"/>
                <w:color w:val="000000" w:themeColor="text1"/>
              </w:rPr>
              <w:t xml:space="preserve"> </w:t>
            </w:r>
            <w:r w:rsidR="003751B0" w:rsidRPr="00751643">
              <w:rPr>
                <w:rFonts w:ascii="Arial" w:hAnsi="Arial" w:cs="Arial"/>
                <w:color w:val="000000" w:themeColor="text1"/>
              </w:rPr>
              <w:t>S</w:t>
            </w:r>
            <w:r w:rsidRPr="00751643">
              <w:rPr>
                <w:rFonts w:ascii="Arial" w:hAnsi="Arial" w:cs="Arial"/>
                <w:color w:val="000000" w:themeColor="text1"/>
              </w:rPr>
              <w:t>kal</w:t>
            </w:r>
            <w:r w:rsidR="003751B0" w:rsidRPr="00751643">
              <w:rPr>
                <w:rFonts w:ascii="Arial" w:hAnsi="Arial" w:cs="Arial"/>
                <w:color w:val="000000" w:themeColor="text1"/>
              </w:rPr>
              <w:t>a</w:t>
            </w:r>
            <w:r w:rsidRPr="00751643">
              <w:rPr>
                <w:rFonts w:ascii="Arial" w:hAnsi="Arial" w:cs="Arial"/>
                <w:color w:val="000000" w:themeColor="text1"/>
              </w:rPr>
              <w:t xml:space="preserve"> prowadzonej działalności</w:t>
            </w:r>
            <w:r w:rsidR="003751B0" w:rsidRPr="00751643">
              <w:rPr>
                <w:rFonts w:ascii="Arial" w:hAnsi="Arial" w:cs="Arial"/>
                <w:color w:val="000000" w:themeColor="text1"/>
              </w:rPr>
              <w:t xml:space="preserve"> przez Navigator powoduje, iż Navigator</w:t>
            </w:r>
            <w:r w:rsidRPr="00751643">
              <w:rPr>
                <w:rFonts w:ascii="Arial" w:hAnsi="Arial" w:cs="Arial"/>
                <w:color w:val="000000" w:themeColor="text1"/>
              </w:rPr>
              <w:t xml:space="preserve"> nie posiada rozbudowanej struktury organizacyjnej</w:t>
            </w:r>
            <w:r w:rsidR="003751B0" w:rsidRPr="00751643">
              <w:rPr>
                <w:rFonts w:ascii="Arial" w:hAnsi="Arial" w:cs="Arial"/>
                <w:color w:val="000000" w:themeColor="text1"/>
              </w:rPr>
              <w:t>. Wdrożenie Zasad</w:t>
            </w:r>
            <w:r w:rsidRPr="00751643">
              <w:rPr>
                <w:rFonts w:ascii="Arial" w:hAnsi="Arial" w:cs="Arial"/>
                <w:color w:val="000000" w:themeColor="text1"/>
              </w:rPr>
              <w:t xml:space="preserve"> </w:t>
            </w:r>
            <w:r w:rsidR="00827EAE" w:rsidRPr="00751643">
              <w:rPr>
                <w:rFonts w:ascii="Arial" w:hAnsi="Arial" w:cs="Arial"/>
                <w:color w:val="000000" w:themeColor="text1"/>
              </w:rPr>
              <w:t xml:space="preserve">poskutkowało dokonaną zmianą Regulaminu Organizacyjnego Domu Maklerskiego Navigator S.A. </w:t>
            </w:r>
          </w:p>
          <w:p w:rsidR="00827EAE" w:rsidRPr="00751643" w:rsidRDefault="00827EAE" w:rsidP="00DB6589">
            <w:pPr>
              <w:rPr>
                <w:rFonts w:ascii="Arial" w:hAnsi="Arial" w:cs="Arial"/>
                <w:color w:val="000000" w:themeColor="text1"/>
              </w:rPr>
            </w:pPr>
            <w:r w:rsidRPr="00751643">
              <w:rPr>
                <w:rFonts w:ascii="Arial" w:hAnsi="Arial" w:cs="Arial"/>
                <w:color w:val="000000" w:themeColor="text1"/>
              </w:rPr>
              <w:t xml:space="preserve">Rada Nadzorcza Navigator rekomenduje: </w:t>
            </w:r>
          </w:p>
          <w:p w:rsidR="00827EAE" w:rsidRPr="00751643" w:rsidRDefault="00827EAE" w:rsidP="00413C42">
            <w:pPr>
              <w:pStyle w:val="Akapitzlist"/>
              <w:numPr>
                <w:ilvl w:val="0"/>
                <w:numId w:val="30"/>
              </w:numPr>
              <w:rPr>
                <w:rFonts w:ascii="Arial" w:hAnsi="Arial" w:cs="Arial"/>
                <w:color w:val="000000" w:themeColor="text1"/>
              </w:rPr>
            </w:pPr>
            <w:r w:rsidRPr="00751643">
              <w:rPr>
                <w:rFonts w:ascii="Arial" w:hAnsi="Arial" w:cs="Arial"/>
                <w:color w:val="000000" w:themeColor="text1"/>
              </w:rPr>
              <w:t>monitorowanie</w:t>
            </w:r>
            <w:r w:rsidR="00994BD3" w:rsidRPr="00751643">
              <w:rPr>
                <w:rFonts w:ascii="Arial" w:hAnsi="Arial" w:cs="Arial"/>
                <w:color w:val="000000" w:themeColor="text1"/>
              </w:rPr>
              <w:t xml:space="preserve"> zmian w przepisach prawa oraz monitorowanie</w:t>
            </w:r>
            <w:r w:rsidRPr="00751643">
              <w:rPr>
                <w:rFonts w:ascii="Arial" w:hAnsi="Arial" w:cs="Arial"/>
                <w:color w:val="000000" w:themeColor="text1"/>
              </w:rPr>
              <w:t xml:space="preserve"> zaleceń i wytycznych ESMA</w:t>
            </w:r>
            <w:r w:rsidR="00994BD3" w:rsidRPr="00751643">
              <w:rPr>
                <w:rFonts w:ascii="Arial" w:hAnsi="Arial" w:cs="Arial"/>
                <w:color w:val="000000" w:themeColor="text1"/>
              </w:rPr>
              <w:t>, dokonywanie regularnych przeglądów Regulaminu Organizacyjnego</w:t>
            </w:r>
            <w:r w:rsidRPr="00751643">
              <w:rPr>
                <w:rFonts w:ascii="Arial" w:hAnsi="Arial" w:cs="Arial"/>
                <w:color w:val="000000" w:themeColor="text1"/>
              </w:rPr>
              <w:t xml:space="preserve"> oraz ewentualne dostosowywanie struktury organizacyjnej z uwzględnieniem reguły proporcjonalności i skali działalności Navigator;</w:t>
            </w:r>
          </w:p>
          <w:p w:rsidR="00827EAE" w:rsidRPr="00751643" w:rsidRDefault="00994BD3" w:rsidP="00413C42">
            <w:pPr>
              <w:pStyle w:val="Akapitzlist"/>
              <w:numPr>
                <w:ilvl w:val="0"/>
                <w:numId w:val="30"/>
              </w:numPr>
              <w:rPr>
                <w:rFonts w:ascii="Arial" w:hAnsi="Arial" w:cs="Arial"/>
                <w:color w:val="000000" w:themeColor="text1"/>
              </w:rPr>
            </w:pPr>
            <w:r w:rsidRPr="00751643">
              <w:rPr>
                <w:rFonts w:ascii="Arial" w:hAnsi="Arial" w:cs="Arial"/>
                <w:color w:val="000000" w:themeColor="text1"/>
              </w:rPr>
              <w:t xml:space="preserve">przekazywanie aktualnej jednolitej treści Regulaminu Organizacyjnej (po dokonaniu zmian) pracownikom Navigator. </w:t>
            </w:r>
          </w:p>
          <w:p w:rsidR="001261D1" w:rsidRPr="00751643" w:rsidRDefault="001261D1" w:rsidP="00413C42">
            <w:pPr>
              <w:pStyle w:val="Akapitzlist"/>
              <w:spacing w:after="0" w:line="240" w:lineRule="auto"/>
              <w:rPr>
                <w:rFonts w:ascii="Arial" w:hAnsi="Arial" w:cs="Arial"/>
                <w:color w:val="000000" w:themeColor="text1"/>
              </w:rPr>
            </w:pPr>
            <w:r w:rsidRPr="00751643">
              <w:rPr>
                <w:rFonts w:ascii="Arial" w:hAnsi="Arial" w:cs="Arial"/>
                <w:color w:val="000000" w:themeColor="text1"/>
              </w:rPr>
              <w:t xml:space="preserve"> </w:t>
            </w:r>
          </w:p>
          <w:p w:rsidR="00672980" w:rsidRPr="00751643" w:rsidRDefault="00672980" w:rsidP="00413C42">
            <w:pPr>
              <w:pStyle w:val="Akapitzlist"/>
              <w:spacing w:after="0" w:line="240" w:lineRule="auto"/>
              <w:rPr>
                <w:rFonts w:ascii="Arial" w:hAnsi="Arial" w:cs="Arial"/>
                <w:color w:val="000000" w:themeColor="text1"/>
              </w:rPr>
            </w:pPr>
          </w:p>
        </w:tc>
      </w:tr>
      <w:tr w:rsidR="001261D1" w:rsidRPr="00DB6589" w:rsidTr="00413C42">
        <w:tc>
          <w:tcPr>
            <w:tcW w:w="1697" w:type="dxa"/>
          </w:tcPr>
          <w:p w:rsidR="001261D1" w:rsidRPr="00751643" w:rsidRDefault="001261D1" w:rsidP="003751B0">
            <w:pPr>
              <w:rPr>
                <w:rFonts w:ascii="Arial" w:hAnsi="Arial" w:cs="Arial"/>
                <w:color w:val="000000" w:themeColor="text1"/>
              </w:rPr>
            </w:pPr>
          </w:p>
        </w:tc>
        <w:tc>
          <w:tcPr>
            <w:tcW w:w="546" w:type="dxa"/>
          </w:tcPr>
          <w:p w:rsidR="001261D1" w:rsidRPr="00751643" w:rsidRDefault="001261D1" w:rsidP="003751B0">
            <w:pPr>
              <w:rPr>
                <w:rFonts w:ascii="Arial" w:hAnsi="Arial" w:cs="Arial"/>
                <w:color w:val="000000" w:themeColor="text1"/>
              </w:rPr>
            </w:pPr>
            <w:r w:rsidRPr="00751643">
              <w:rPr>
                <w:rStyle w:val="apple-converted-space"/>
                <w:rFonts w:ascii="Arial" w:hAnsi="Arial" w:cs="Arial"/>
                <w:color w:val="000000" w:themeColor="text1"/>
                <w:shd w:val="clear" w:color="auto" w:fill="FFFFFF"/>
              </w:rPr>
              <w:t> </w:t>
            </w:r>
            <w:r w:rsidRPr="00751643">
              <w:rPr>
                <w:rFonts w:ascii="Arial" w:hAnsi="Arial" w:cs="Arial"/>
                <w:color w:val="000000" w:themeColor="text1"/>
                <w:shd w:val="clear" w:color="auto" w:fill="FFFFFF"/>
              </w:rPr>
              <w:t>2</w:t>
            </w:r>
          </w:p>
        </w:tc>
        <w:tc>
          <w:tcPr>
            <w:tcW w:w="1244" w:type="dxa"/>
          </w:tcPr>
          <w:p w:rsidR="001261D1" w:rsidRPr="00751643" w:rsidRDefault="001261D1" w:rsidP="003751B0">
            <w:pPr>
              <w:rPr>
                <w:rFonts w:ascii="Arial" w:hAnsi="Arial" w:cs="Arial"/>
                <w:color w:val="000000" w:themeColor="text1"/>
              </w:rPr>
            </w:pPr>
            <w:r w:rsidRPr="00751643">
              <w:rPr>
                <w:rFonts w:ascii="Arial" w:hAnsi="Arial" w:cs="Arial"/>
                <w:color w:val="000000" w:themeColor="text1"/>
                <w:shd w:val="clear" w:color="auto" w:fill="FFFFFF"/>
              </w:rPr>
              <w:t>§ 1 ust. 4</w:t>
            </w:r>
          </w:p>
        </w:tc>
        <w:tc>
          <w:tcPr>
            <w:tcW w:w="6359" w:type="dxa"/>
          </w:tcPr>
          <w:p w:rsidR="00994BD3" w:rsidRPr="00751643" w:rsidRDefault="001261D1" w:rsidP="00DB6589">
            <w:pPr>
              <w:rPr>
                <w:rFonts w:ascii="Arial" w:hAnsi="Arial" w:cs="Arial"/>
                <w:color w:val="000000" w:themeColor="text1"/>
              </w:rPr>
            </w:pPr>
            <w:r w:rsidRPr="00751643">
              <w:rPr>
                <w:rFonts w:ascii="Arial" w:hAnsi="Arial" w:cs="Arial"/>
                <w:color w:val="000000" w:themeColor="text1"/>
              </w:rPr>
              <w:t xml:space="preserve">Zasada </w:t>
            </w:r>
            <w:r w:rsidR="00994BD3" w:rsidRPr="00751643">
              <w:rPr>
                <w:rFonts w:ascii="Arial" w:hAnsi="Arial" w:cs="Arial"/>
                <w:color w:val="000000" w:themeColor="text1"/>
              </w:rPr>
              <w:t>została</w:t>
            </w:r>
            <w:r w:rsidRPr="00751643">
              <w:rPr>
                <w:rFonts w:ascii="Arial" w:hAnsi="Arial" w:cs="Arial"/>
                <w:color w:val="000000" w:themeColor="text1"/>
              </w:rPr>
              <w:t xml:space="preserve"> zaimplementowana</w:t>
            </w:r>
            <w:r w:rsidR="00994BD3" w:rsidRPr="00751643">
              <w:rPr>
                <w:rFonts w:ascii="Arial" w:hAnsi="Arial" w:cs="Arial"/>
                <w:color w:val="000000" w:themeColor="text1"/>
              </w:rPr>
              <w:t>.</w:t>
            </w:r>
          </w:p>
          <w:p w:rsidR="00694BD8" w:rsidRPr="00751643" w:rsidRDefault="00703AC0" w:rsidP="00DB6589">
            <w:pPr>
              <w:rPr>
                <w:rFonts w:ascii="Arial" w:hAnsi="Arial" w:cs="Arial"/>
                <w:color w:val="000000" w:themeColor="text1"/>
              </w:rPr>
            </w:pPr>
            <w:r w:rsidRPr="00751643">
              <w:rPr>
                <w:rFonts w:ascii="Arial" w:hAnsi="Arial" w:cs="Arial"/>
                <w:color w:val="000000" w:themeColor="text1"/>
              </w:rPr>
              <w:lastRenderedPageBreak/>
              <w:t>Podstawowa struktura organizacyjna Navigator została zamieszczona na stronie internetowej Navigator</w:t>
            </w:r>
            <w:r w:rsidR="00694BD8" w:rsidRPr="00751643">
              <w:rPr>
                <w:rFonts w:ascii="Arial" w:hAnsi="Arial" w:cs="Arial"/>
                <w:color w:val="000000" w:themeColor="text1"/>
              </w:rPr>
              <w:t xml:space="preserve"> </w:t>
            </w:r>
            <w:r w:rsidR="00246261" w:rsidRPr="00751643">
              <w:rPr>
                <w:rFonts w:ascii="Arial" w:hAnsi="Arial" w:cs="Arial"/>
                <w:color w:val="000000" w:themeColor="text1"/>
              </w:rPr>
              <w:t>w zakładce „Dokumenty”</w:t>
            </w:r>
          </w:p>
          <w:p w:rsidR="001261D1" w:rsidRPr="00751643" w:rsidRDefault="001261D1" w:rsidP="00DB6589">
            <w:pPr>
              <w:rPr>
                <w:rFonts w:ascii="Arial" w:hAnsi="Arial" w:cs="Arial"/>
                <w:color w:val="000000" w:themeColor="text1"/>
              </w:rPr>
            </w:pPr>
          </w:p>
        </w:tc>
      </w:tr>
      <w:tr w:rsidR="001261D1" w:rsidRPr="00DB6589" w:rsidTr="00413C42">
        <w:tc>
          <w:tcPr>
            <w:tcW w:w="1697" w:type="dxa"/>
          </w:tcPr>
          <w:p w:rsidR="001261D1" w:rsidRPr="00751643" w:rsidRDefault="001261D1" w:rsidP="003751B0">
            <w:pPr>
              <w:rPr>
                <w:rFonts w:ascii="Arial" w:hAnsi="Arial" w:cs="Arial"/>
                <w:color w:val="000000" w:themeColor="text1"/>
              </w:rPr>
            </w:pPr>
          </w:p>
        </w:tc>
        <w:tc>
          <w:tcPr>
            <w:tcW w:w="546" w:type="dxa"/>
          </w:tcPr>
          <w:p w:rsidR="001261D1" w:rsidRPr="00751643" w:rsidRDefault="00C37B24" w:rsidP="003751B0">
            <w:pPr>
              <w:rPr>
                <w:rFonts w:ascii="Arial" w:hAnsi="Arial" w:cs="Arial"/>
                <w:color w:val="000000" w:themeColor="text1"/>
              </w:rPr>
            </w:pPr>
            <w:r w:rsidRPr="00751643">
              <w:rPr>
                <w:rFonts w:ascii="Arial" w:hAnsi="Arial" w:cs="Arial"/>
                <w:color w:val="000000" w:themeColor="text1"/>
              </w:rPr>
              <w:t>3</w:t>
            </w:r>
          </w:p>
        </w:tc>
        <w:tc>
          <w:tcPr>
            <w:tcW w:w="1244" w:type="dxa"/>
          </w:tcPr>
          <w:p w:rsidR="001261D1" w:rsidRPr="00751643" w:rsidRDefault="001261D1" w:rsidP="003751B0">
            <w:pPr>
              <w:rPr>
                <w:rFonts w:ascii="Arial" w:hAnsi="Arial" w:cs="Arial"/>
                <w:color w:val="000000" w:themeColor="text1"/>
              </w:rPr>
            </w:pPr>
            <w:r w:rsidRPr="00751643">
              <w:rPr>
                <w:rFonts w:ascii="Arial" w:hAnsi="Arial" w:cs="Arial"/>
                <w:color w:val="000000" w:themeColor="text1"/>
                <w:shd w:val="clear" w:color="auto" w:fill="FFFFFF"/>
              </w:rPr>
              <w:t>§ 6</w:t>
            </w:r>
          </w:p>
        </w:tc>
        <w:tc>
          <w:tcPr>
            <w:tcW w:w="6359" w:type="dxa"/>
          </w:tcPr>
          <w:p w:rsidR="00240A83" w:rsidRPr="00751643" w:rsidRDefault="00240A83" w:rsidP="003751B0">
            <w:pPr>
              <w:rPr>
                <w:rFonts w:ascii="Arial" w:hAnsi="Arial" w:cs="Arial"/>
                <w:color w:val="000000" w:themeColor="text1"/>
              </w:rPr>
            </w:pPr>
            <w:r w:rsidRPr="00751643">
              <w:rPr>
                <w:rFonts w:ascii="Arial" w:hAnsi="Arial" w:cs="Arial"/>
                <w:color w:val="000000" w:themeColor="text1"/>
              </w:rPr>
              <w:t xml:space="preserve">W 2015 r. trwały prace nad stworzeniem dokumentu Procedury anonimowego zgłaszania naruszeń w Domu Maklerskim Navigator S.A. </w:t>
            </w:r>
          </w:p>
          <w:p w:rsidR="00240A83" w:rsidRPr="00751643" w:rsidRDefault="00240A83" w:rsidP="003751B0">
            <w:pPr>
              <w:rPr>
                <w:rFonts w:ascii="Arial" w:hAnsi="Arial" w:cs="Arial"/>
                <w:color w:val="000000" w:themeColor="text1"/>
              </w:rPr>
            </w:pPr>
            <w:r w:rsidRPr="00751643">
              <w:rPr>
                <w:rFonts w:ascii="Arial" w:hAnsi="Arial" w:cs="Arial"/>
                <w:color w:val="000000" w:themeColor="text1"/>
              </w:rPr>
              <w:t>Ww. procedura została zatwierdzona i przyjęta do realizacji i przestrzegania w styczniu 2016 r.</w:t>
            </w:r>
          </w:p>
          <w:p w:rsidR="00240A83" w:rsidRPr="00751643" w:rsidRDefault="00240A83" w:rsidP="003751B0">
            <w:pPr>
              <w:rPr>
                <w:rFonts w:ascii="Arial" w:hAnsi="Arial" w:cs="Arial"/>
                <w:color w:val="000000" w:themeColor="text1"/>
              </w:rPr>
            </w:pPr>
            <w:r w:rsidRPr="00751643">
              <w:rPr>
                <w:rFonts w:ascii="Arial" w:hAnsi="Arial" w:cs="Arial"/>
                <w:color w:val="000000" w:themeColor="text1"/>
              </w:rPr>
              <w:t>Zgodnie z ww. procedurą nie rzadziej niż raz w roku Zarząd Navigator sporządza raport o poważnych naruszeniach i przekazuje ten raport Radzie Nadzorczej Navigator.</w:t>
            </w:r>
          </w:p>
          <w:p w:rsidR="007F7269" w:rsidRPr="00751643" w:rsidRDefault="00240A83" w:rsidP="003751B0">
            <w:pPr>
              <w:rPr>
                <w:rFonts w:ascii="Arial" w:hAnsi="Arial" w:cs="Arial"/>
                <w:color w:val="000000" w:themeColor="text1"/>
              </w:rPr>
            </w:pPr>
            <w:r w:rsidRPr="00751643">
              <w:rPr>
                <w:rFonts w:ascii="Arial" w:hAnsi="Arial" w:cs="Arial"/>
                <w:color w:val="000000" w:themeColor="text1"/>
              </w:rPr>
              <w:t xml:space="preserve">Zgodnie z uzyskanymi informacjami od Zarządu Navigator historycznie nie </w:t>
            </w:r>
            <w:r w:rsidR="007F7269" w:rsidRPr="00751643">
              <w:rPr>
                <w:rFonts w:ascii="Arial" w:hAnsi="Arial" w:cs="Arial"/>
                <w:color w:val="000000" w:themeColor="text1"/>
              </w:rPr>
              <w:t>wystąpiły przypadki poważnych nadużyć.</w:t>
            </w:r>
          </w:p>
          <w:p w:rsidR="00672980" w:rsidRPr="00751643" w:rsidRDefault="007F7269" w:rsidP="00DB6589">
            <w:pPr>
              <w:rPr>
                <w:rFonts w:ascii="Arial" w:hAnsi="Arial" w:cs="Arial"/>
                <w:color w:val="000000" w:themeColor="text1"/>
              </w:rPr>
            </w:pPr>
            <w:r w:rsidRPr="00751643">
              <w:rPr>
                <w:rFonts w:ascii="Arial" w:hAnsi="Arial" w:cs="Arial"/>
                <w:color w:val="000000" w:themeColor="text1"/>
              </w:rPr>
              <w:t>Problematyka anonimowego sposobu powiadamiania Zarządu lub Rady Nadzorczej Navigator o nadużyciach w Navigator jest uwzględniana podczas szkoleń wewnętrznych dla pracowników Navigator.</w:t>
            </w:r>
            <w:r w:rsidR="00240A83" w:rsidRPr="00751643">
              <w:rPr>
                <w:rFonts w:ascii="Arial" w:hAnsi="Arial" w:cs="Arial"/>
                <w:color w:val="000000" w:themeColor="text1"/>
              </w:rPr>
              <w:t xml:space="preserve"> </w:t>
            </w:r>
          </w:p>
          <w:p w:rsidR="001261D1" w:rsidRPr="00751643" w:rsidRDefault="001261D1" w:rsidP="00DB6589">
            <w:pPr>
              <w:rPr>
                <w:rFonts w:ascii="Arial" w:hAnsi="Arial" w:cs="Arial"/>
                <w:color w:val="000000" w:themeColor="text1"/>
              </w:rPr>
            </w:pPr>
          </w:p>
        </w:tc>
      </w:tr>
      <w:tr w:rsidR="001261D1" w:rsidRPr="00DB6589" w:rsidTr="00413C42">
        <w:tc>
          <w:tcPr>
            <w:tcW w:w="1697" w:type="dxa"/>
          </w:tcPr>
          <w:p w:rsidR="001261D1" w:rsidRPr="00751643" w:rsidRDefault="001261D1" w:rsidP="003751B0">
            <w:pPr>
              <w:rPr>
                <w:rFonts w:ascii="Arial" w:hAnsi="Arial" w:cs="Arial"/>
                <w:color w:val="000000" w:themeColor="text1"/>
              </w:rPr>
            </w:pPr>
          </w:p>
        </w:tc>
        <w:tc>
          <w:tcPr>
            <w:tcW w:w="546" w:type="dxa"/>
          </w:tcPr>
          <w:p w:rsidR="001261D1" w:rsidRPr="00751643" w:rsidRDefault="00C37B24" w:rsidP="003751B0">
            <w:pPr>
              <w:rPr>
                <w:rFonts w:ascii="Arial" w:hAnsi="Arial" w:cs="Arial"/>
                <w:color w:val="000000" w:themeColor="text1"/>
              </w:rPr>
            </w:pPr>
            <w:r w:rsidRPr="00751643">
              <w:rPr>
                <w:rFonts w:ascii="Arial" w:hAnsi="Arial" w:cs="Arial"/>
                <w:color w:val="000000" w:themeColor="text1"/>
              </w:rPr>
              <w:t>4</w:t>
            </w:r>
          </w:p>
        </w:tc>
        <w:tc>
          <w:tcPr>
            <w:tcW w:w="1244" w:type="dxa"/>
          </w:tcPr>
          <w:p w:rsidR="001261D1" w:rsidRPr="00751643" w:rsidRDefault="001261D1" w:rsidP="003751B0">
            <w:pPr>
              <w:rPr>
                <w:rFonts w:ascii="Arial" w:hAnsi="Arial" w:cs="Arial"/>
                <w:color w:val="000000" w:themeColor="text1"/>
              </w:rPr>
            </w:pPr>
            <w:r w:rsidRPr="00751643">
              <w:rPr>
                <w:rFonts w:ascii="Arial" w:hAnsi="Arial" w:cs="Arial"/>
                <w:color w:val="000000" w:themeColor="text1"/>
                <w:shd w:val="clear" w:color="auto" w:fill="FFFFFF"/>
              </w:rPr>
              <w:t>§ 7</w:t>
            </w:r>
          </w:p>
        </w:tc>
        <w:tc>
          <w:tcPr>
            <w:tcW w:w="6359" w:type="dxa"/>
          </w:tcPr>
          <w:p w:rsidR="00CB7D24" w:rsidRPr="00751643" w:rsidRDefault="001261D1" w:rsidP="003751B0">
            <w:pPr>
              <w:spacing w:after="160" w:line="259" w:lineRule="auto"/>
              <w:rPr>
                <w:rFonts w:ascii="Arial" w:hAnsi="Arial" w:cs="Arial"/>
                <w:color w:val="000000" w:themeColor="text1"/>
              </w:rPr>
            </w:pPr>
            <w:r w:rsidRPr="00751643">
              <w:rPr>
                <w:rFonts w:ascii="Arial" w:hAnsi="Arial" w:cs="Arial"/>
                <w:color w:val="000000" w:themeColor="text1"/>
              </w:rPr>
              <w:t xml:space="preserve">Zasada </w:t>
            </w:r>
            <w:r w:rsidR="00672980" w:rsidRPr="00751643">
              <w:rPr>
                <w:rFonts w:ascii="Arial" w:hAnsi="Arial" w:cs="Arial"/>
                <w:color w:val="000000" w:themeColor="text1"/>
              </w:rPr>
              <w:t xml:space="preserve">została </w:t>
            </w:r>
            <w:r w:rsidRPr="00751643">
              <w:rPr>
                <w:rFonts w:ascii="Arial" w:hAnsi="Arial" w:cs="Arial"/>
                <w:color w:val="000000" w:themeColor="text1"/>
              </w:rPr>
              <w:t xml:space="preserve">zaimplementowana. </w:t>
            </w:r>
          </w:p>
          <w:p w:rsidR="00CB7D24" w:rsidRPr="00751643" w:rsidRDefault="00CB7D24" w:rsidP="003751B0">
            <w:pPr>
              <w:spacing w:after="160" w:line="259" w:lineRule="auto"/>
              <w:rPr>
                <w:rFonts w:ascii="Arial" w:hAnsi="Arial" w:cs="Arial"/>
                <w:color w:val="000000" w:themeColor="text1"/>
              </w:rPr>
            </w:pPr>
            <w:r w:rsidRPr="00751643">
              <w:rPr>
                <w:rFonts w:ascii="Arial" w:hAnsi="Arial" w:cs="Arial"/>
                <w:color w:val="000000" w:themeColor="text1"/>
              </w:rPr>
              <w:t xml:space="preserve">W 2015 r. </w:t>
            </w:r>
            <w:r w:rsidR="00F319F6" w:rsidRPr="00751643">
              <w:rPr>
                <w:rFonts w:ascii="Arial" w:hAnsi="Arial" w:cs="Arial"/>
                <w:color w:val="000000" w:themeColor="text1"/>
              </w:rPr>
              <w:t xml:space="preserve">w Navigator obowiązywał Regulamin utrzymania ciągłości i bezpieczeństwa działania. </w:t>
            </w:r>
          </w:p>
          <w:p w:rsidR="00672980" w:rsidRPr="00751643" w:rsidRDefault="00F319F6" w:rsidP="00413C42">
            <w:pPr>
              <w:spacing w:after="160" w:line="259" w:lineRule="auto"/>
              <w:rPr>
                <w:rFonts w:ascii="Arial" w:hAnsi="Arial" w:cs="Arial"/>
                <w:color w:val="000000" w:themeColor="text1"/>
              </w:rPr>
            </w:pPr>
            <w:r w:rsidRPr="00751643">
              <w:rPr>
                <w:rFonts w:ascii="Arial" w:hAnsi="Arial" w:cs="Arial"/>
                <w:color w:val="000000" w:themeColor="text1"/>
              </w:rPr>
              <w:t>W ramach realizacji zaleceń Komisji Nadzoru Finansowego</w:t>
            </w:r>
            <w:r w:rsidR="00672980" w:rsidRPr="00751643">
              <w:rPr>
                <w:rFonts w:ascii="Arial" w:hAnsi="Arial" w:cs="Arial"/>
                <w:color w:val="000000" w:themeColor="text1"/>
              </w:rPr>
              <w:t xml:space="preserve"> dokonano całościowego przeglądu ww. Regulaminu Na skutek dokonanego przeglądu uznano za uzasadnione wdrożenie nowego Planu utrzymania ciągłości działania. Wdrożony w marcu 2016 r. Plan utrzymania ciągłości działania identyfikuje procesy krytyczne, wskazuje zasoby niezbędne do odtworzenia ciągłości biznesowej oraz, ze względu na zakres i tryb prowadzonej działalności maklerskiej, umożliwia odpowiednią reakcję zespołu awaryjnego w sytuacji kryzysowej. </w:t>
            </w:r>
          </w:p>
          <w:p w:rsidR="00672980" w:rsidRPr="00751643" w:rsidRDefault="00672980" w:rsidP="00413C42">
            <w:pPr>
              <w:spacing w:after="160" w:line="259" w:lineRule="auto"/>
              <w:rPr>
                <w:rFonts w:ascii="Arial" w:hAnsi="Arial" w:cs="Arial"/>
                <w:color w:val="000000" w:themeColor="text1"/>
              </w:rPr>
            </w:pPr>
            <w:r w:rsidRPr="00751643">
              <w:rPr>
                <w:rFonts w:ascii="Arial" w:hAnsi="Arial" w:cs="Arial"/>
                <w:color w:val="000000" w:themeColor="text1"/>
              </w:rPr>
              <w:t xml:space="preserve">Zgodnie z Planem utrzymania ciągłości działania wszystkie elementy systemu utrzymania ciągłości działania powinny podlegać regularnym testom. Zalecane jest przeprowadzanie testów wewnętrznych lub zewnętrznych, minimum raz w roku, w wybranych zakresach działania Navigator. Dodatkowo, istotne zmiany w zakresie technologii IT oraz ważniejsze zmiany obszaru biznesowego Navigator lub otoczenia biznesowego mogą stanowić podstawę przeprowadzenia niezbędnych wewnętrznych i zewnętrznych testów systemu </w:t>
            </w:r>
            <w:r w:rsidRPr="00751643">
              <w:rPr>
                <w:rFonts w:ascii="Arial" w:hAnsi="Arial" w:cs="Arial"/>
                <w:color w:val="000000" w:themeColor="text1"/>
              </w:rPr>
              <w:lastRenderedPageBreak/>
              <w:t>utrzymania ciągłości działania.</w:t>
            </w:r>
          </w:p>
          <w:p w:rsidR="00672980" w:rsidRPr="00751643" w:rsidRDefault="00672980" w:rsidP="00413C42">
            <w:pPr>
              <w:spacing w:after="160" w:line="259" w:lineRule="auto"/>
              <w:rPr>
                <w:rFonts w:ascii="Arial" w:hAnsi="Arial" w:cs="Arial"/>
                <w:color w:val="000000" w:themeColor="text1"/>
              </w:rPr>
            </w:pPr>
            <w:r w:rsidRPr="00751643">
              <w:rPr>
                <w:rFonts w:ascii="Arial" w:hAnsi="Arial" w:cs="Arial"/>
                <w:color w:val="000000" w:themeColor="text1"/>
              </w:rPr>
              <w:t>Test nowo wdrożonego Planu utrzymania ciągłości działania został przeprowadzony w marcu 2016 r.</w:t>
            </w:r>
          </w:p>
          <w:p w:rsidR="001261D1" w:rsidRPr="00751643" w:rsidRDefault="001261D1" w:rsidP="00DB6589">
            <w:pPr>
              <w:spacing w:after="160" w:line="259" w:lineRule="auto"/>
              <w:rPr>
                <w:rFonts w:ascii="Arial" w:hAnsi="Arial" w:cs="Arial"/>
                <w:color w:val="000000" w:themeColor="text1"/>
              </w:rPr>
            </w:pPr>
          </w:p>
        </w:tc>
      </w:tr>
      <w:tr w:rsidR="001261D1" w:rsidRPr="00DB6589" w:rsidTr="00413C42">
        <w:tc>
          <w:tcPr>
            <w:tcW w:w="1697" w:type="dxa"/>
          </w:tcPr>
          <w:p w:rsidR="000C39E9" w:rsidRPr="00751643" w:rsidRDefault="000C39E9" w:rsidP="000C39E9">
            <w:pPr>
              <w:rPr>
                <w:rFonts w:ascii="Arial" w:hAnsi="Arial" w:cs="Arial"/>
                <w:color w:val="000000" w:themeColor="text1"/>
              </w:rPr>
            </w:pPr>
            <w:r w:rsidRPr="00751643">
              <w:rPr>
                <w:rFonts w:ascii="Arial" w:hAnsi="Arial" w:cs="Arial"/>
                <w:color w:val="000000" w:themeColor="text1"/>
              </w:rPr>
              <w:lastRenderedPageBreak/>
              <w:t>Rozdział 2</w:t>
            </w:r>
          </w:p>
          <w:p w:rsidR="001261D1" w:rsidRPr="00751643" w:rsidRDefault="000C39E9" w:rsidP="000C39E9">
            <w:pPr>
              <w:rPr>
                <w:rFonts w:ascii="Arial" w:hAnsi="Arial" w:cs="Arial"/>
                <w:color w:val="000000" w:themeColor="text1"/>
              </w:rPr>
            </w:pPr>
            <w:r w:rsidRPr="00751643">
              <w:rPr>
                <w:rFonts w:ascii="Arial" w:hAnsi="Arial" w:cs="Arial"/>
                <w:color w:val="000000" w:themeColor="text1"/>
              </w:rPr>
              <w:t>Relacja z udziałowcami instytucji nadzorowanej</w:t>
            </w:r>
          </w:p>
        </w:tc>
        <w:tc>
          <w:tcPr>
            <w:tcW w:w="546" w:type="dxa"/>
          </w:tcPr>
          <w:p w:rsidR="001261D1" w:rsidRPr="00751643" w:rsidRDefault="00303FA6" w:rsidP="003751B0">
            <w:pPr>
              <w:rPr>
                <w:rFonts w:ascii="Arial" w:hAnsi="Arial" w:cs="Arial"/>
                <w:color w:val="000000" w:themeColor="text1"/>
              </w:rPr>
            </w:pPr>
            <w:r w:rsidRPr="00751643">
              <w:rPr>
                <w:rFonts w:ascii="Arial" w:hAnsi="Arial" w:cs="Arial"/>
                <w:color w:val="000000" w:themeColor="text1"/>
              </w:rPr>
              <w:t>5</w:t>
            </w:r>
          </w:p>
        </w:tc>
        <w:tc>
          <w:tcPr>
            <w:tcW w:w="1244" w:type="dxa"/>
          </w:tcPr>
          <w:p w:rsidR="001261D1" w:rsidRPr="00751643" w:rsidRDefault="001261D1" w:rsidP="003751B0">
            <w:pPr>
              <w:rPr>
                <w:rFonts w:ascii="Arial" w:hAnsi="Arial" w:cs="Arial"/>
                <w:color w:val="000000" w:themeColor="text1"/>
              </w:rPr>
            </w:pPr>
            <w:r w:rsidRPr="00751643">
              <w:rPr>
                <w:rFonts w:ascii="Arial" w:hAnsi="Arial" w:cs="Arial"/>
                <w:color w:val="000000" w:themeColor="text1"/>
                <w:shd w:val="clear" w:color="auto" w:fill="FFFFFF"/>
              </w:rPr>
              <w:t>§ 11</w:t>
            </w:r>
          </w:p>
        </w:tc>
        <w:tc>
          <w:tcPr>
            <w:tcW w:w="6359" w:type="dxa"/>
          </w:tcPr>
          <w:p w:rsidR="006A2B86" w:rsidRPr="00751643" w:rsidRDefault="006A2B86" w:rsidP="003751B0">
            <w:pPr>
              <w:rPr>
                <w:rFonts w:ascii="Arial" w:hAnsi="Arial" w:cs="Arial"/>
                <w:color w:val="000000" w:themeColor="text1"/>
              </w:rPr>
            </w:pPr>
            <w:r w:rsidRPr="00751643">
              <w:rPr>
                <w:rFonts w:ascii="Arial" w:hAnsi="Arial" w:cs="Arial"/>
                <w:color w:val="000000" w:themeColor="text1"/>
              </w:rPr>
              <w:t xml:space="preserve">Poza wynajmem powierzchni biurowej przez Navigator od podmiotu dominującego tj. Navigator Capital S.A. nie są przeprowadzane żadne inne transakcje pomiędzy tymi jednostkami (w ramach umowy najmu Navigator wpłacił kaucję za najem, co zostało ujęte w pozycji należności długoterminowych Navigator w </w:t>
            </w:r>
            <w:r w:rsidR="005D0ED4">
              <w:rPr>
                <w:rFonts w:ascii="Arial" w:hAnsi="Arial" w:cs="Arial"/>
                <w:color w:val="000000" w:themeColor="text1"/>
              </w:rPr>
              <w:t>bilansie na koniec</w:t>
            </w:r>
            <w:r w:rsidRPr="00751643">
              <w:rPr>
                <w:rFonts w:ascii="Arial" w:hAnsi="Arial" w:cs="Arial"/>
                <w:color w:val="000000" w:themeColor="text1"/>
              </w:rPr>
              <w:t xml:space="preserve"> 2015 r.) </w:t>
            </w:r>
          </w:p>
          <w:p w:rsidR="00DB6589" w:rsidRPr="00751643" w:rsidRDefault="00DB6589" w:rsidP="00413C42">
            <w:pPr>
              <w:rPr>
                <w:rFonts w:ascii="Arial" w:hAnsi="Arial" w:cs="Arial"/>
                <w:color w:val="000000" w:themeColor="text1"/>
              </w:rPr>
            </w:pPr>
            <w:r w:rsidRPr="00751643">
              <w:rPr>
                <w:rFonts w:ascii="Arial" w:hAnsi="Arial" w:cs="Arial"/>
                <w:color w:val="000000" w:themeColor="text1"/>
              </w:rPr>
              <w:t xml:space="preserve">Zasada określona </w:t>
            </w:r>
            <w:r w:rsidRPr="00751643">
              <w:rPr>
                <w:rStyle w:val="apple-converted-space"/>
                <w:rFonts w:ascii="Arial" w:hAnsi="Arial" w:cs="Arial"/>
                <w:color w:val="000000" w:themeColor="text1"/>
                <w:shd w:val="clear" w:color="auto" w:fill="FFFFFF"/>
              </w:rPr>
              <w:t xml:space="preserve"> w </w:t>
            </w:r>
            <w:r w:rsidRPr="00751643">
              <w:rPr>
                <w:rFonts w:ascii="Arial" w:hAnsi="Arial" w:cs="Arial"/>
                <w:color w:val="000000" w:themeColor="text1"/>
                <w:shd w:val="clear" w:color="auto" w:fill="FFFFFF"/>
              </w:rPr>
              <w:t xml:space="preserve">§ 11 ust. 2 dot. zasięgania opinii Rady Nadzorczej Navigator w przypadku transakcji z podmiotami powiązanymi, które w istotny sposób wpływają na sytuację finansową lub prawną Navigator lub prowadzą do nabycia lub zbycia albo innego rozporządzenia znacznym majątkiem nie została zaimplementowana do wewnętrznych regulacji Navigator jednakże gdy takie zdarzenie wystąpi Zasada będzie stosowana. </w:t>
            </w:r>
          </w:p>
          <w:p w:rsidR="001261D1" w:rsidRPr="00751643" w:rsidRDefault="001261D1" w:rsidP="00413C42">
            <w:pPr>
              <w:rPr>
                <w:rFonts w:ascii="Arial" w:hAnsi="Arial" w:cs="Arial"/>
              </w:rPr>
            </w:pPr>
          </w:p>
        </w:tc>
      </w:tr>
      <w:tr w:rsidR="001261D1" w:rsidRPr="00DB6589" w:rsidTr="00413C42">
        <w:tc>
          <w:tcPr>
            <w:tcW w:w="1697" w:type="dxa"/>
          </w:tcPr>
          <w:p w:rsidR="001261D1" w:rsidRPr="00751643" w:rsidRDefault="001261D1" w:rsidP="003751B0">
            <w:pPr>
              <w:rPr>
                <w:rFonts w:ascii="Arial" w:hAnsi="Arial" w:cs="Arial"/>
                <w:color w:val="000000" w:themeColor="text1"/>
              </w:rPr>
            </w:pPr>
          </w:p>
        </w:tc>
        <w:tc>
          <w:tcPr>
            <w:tcW w:w="546" w:type="dxa"/>
          </w:tcPr>
          <w:p w:rsidR="001261D1" w:rsidRPr="00751643" w:rsidRDefault="00246261" w:rsidP="003751B0">
            <w:pPr>
              <w:rPr>
                <w:rFonts w:ascii="Arial" w:hAnsi="Arial" w:cs="Arial"/>
                <w:color w:val="000000" w:themeColor="text1"/>
              </w:rPr>
            </w:pPr>
            <w:r w:rsidRPr="00751643">
              <w:rPr>
                <w:rFonts w:ascii="Arial" w:hAnsi="Arial" w:cs="Arial"/>
                <w:color w:val="000000" w:themeColor="text1"/>
              </w:rPr>
              <w:t>6</w:t>
            </w:r>
          </w:p>
        </w:tc>
        <w:tc>
          <w:tcPr>
            <w:tcW w:w="1244" w:type="dxa"/>
          </w:tcPr>
          <w:p w:rsidR="001261D1" w:rsidRPr="00751643" w:rsidRDefault="001261D1" w:rsidP="00492107">
            <w:pPr>
              <w:rPr>
                <w:rFonts w:ascii="Arial" w:hAnsi="Arial" w:cs="Arial"/>
                <w:color w:val="000000" w:themeColor="text1"/>
              </w:rPr>
            </w:pPr>
            <w:r w:rsidRPr="00751643">
              <w:rPr>
                <w:rStyle w:val="apple-converted-space"/>
                <w:rFonts w:ascii="Arial" w:hAnsi="Arial" w:cs="Arial"/>
                <w:color w:val="000000" w:themeColor="text1"/>
                <w:shd w:val="clear" w:color="auto" w:fill="FFFFFF"/>
              </w:rPr>
              <w:t> </w:t>
            </w:r>
            <w:r w:rsidRPr="00751643">
              <w:rPr>
                <w:rFonts w:ascii="Arial" w:hAnsi="Arial" w:cs="Arial"/>
                <w:color w:val="000000" w:themeColor="text1"/>
                <w:shd w:val="clear" w:color="auto" w:fill="FFFFFF"/>
              </w:rPr>
              <w:t>§ 1</w:t>
            </w:r>
            <w:r w:rsidR="002F2DD8" w:rsidRPr="00751643">
              <w:rPr>
                <w:rFonts w:ascii="Arial" w:hAnsi="Arial" w:cs="Arial"/>
                <w:color w:val="000000" w:themeColor="text1"/>
                <w:shd w:val="clear" w:color="auto" w:fill="FFFFFF"/>
              </w:rPr>
              <w:t xml:space="preserve">2 </w:t>
            </w:r>
          </w:p>
        </w:tc>
        <w:tc>
          <w:tcPr>
            <w:tcW w:w="6359" w:type="dxa"/>
          </w:tcPr>
          <w:p w:rsidR="002F2DD8" w:rsidRPr="00751643" w:rsidRDefault="001261D1" w:rsidP="003751B0">
            <w:pPr>
              <w:rPr>
                <w:rFonts w:ascii="Arial" w:hAnsi="Arial" w:cs="Arial"/>
                <w:color w:val="000000" w:themeColor="text1"/>
              </w:rPr>
            </w:pPr>
            <w:r w:rsidRPr="00751643">
              <w:rPr>
                <w:rFonts w:ascii="Arial" w:hAnsi="Arial" w:cs="Arial"/>
                <w:color w:val="000000" w:themeColor="text1"/>
              </w:rPr>
              <w:t xml:space="preserve">Zasady </w:t>
            </w:r>
            <w:r w:rsidR="002F2DD8" w:rsidRPr="00751643">
              <w:rPr>
                <w:rFonts w:ascii="Arial" w:hAnsi="Arial" w:cs="Arial"/>
                <w:color w:val="000000" w:themeColor="text1"/>
              </w:rPr>
              <w:t>zostały zaimplementowane.</w:t>
            </w:r>
          </w:p>
          <w:p w:rsidR="001261D1" w:rsidRPr="00751643" w:rsidRDefault="002F2DD8" w:rsidP="003751B0">
            <w:pPr>
              <w:rPr>
                <w:rFonts w:ascii="Arial" w:hAnsi="Arial" w:cs="Arial"/>
                <w:color w:val="000000" w:themeColor="text1"/>
              </w:rPr>
            </w:pPr>
            <w:r w:rsidRPr="00751643">
              <w:rPr>
                <w:rFonts w:ascii="Arial" w:hAnsi="Arial" w:cs="Arial"/>
                <w:color w:val="000000" w:themeColor="text1"/>
              </w:rPr>
              <w:t>Przepisy prawa, w szczególności Kodeksu Spółek Handlowych nie nakładają na udziałowców (akcjonariuszy) spółki kapitałowej obowiązku dokapitalizowania spółki w sytuacji, gdy jest to niezbędne do utrzymania kapitałów własnych na poziome wymaganym przez przepisy prawa lub regulacje nadzorcze, a także gdy wymaga tego bezpieczeństwo</w:t>
            </w:r>
            <w:r w:rsidR="00492107" w:rsidRPr="00751643">
              <w:rPr>
                <w:rFonts w:ascii="Arial" w:hAnsi="Arial" w:cs="Arial"/>
                <w:color w:val="000000" w:themeColor="text1"/>
              </w:rPr>
              <w:t>. Podobnie, przepisy prawna nie nakładają na udziałowców (akcjonariuszy) spółki kapitałowej obowiązku dostarczenia wsparcia finansowego w sytuacji, gdy jest to niezbędne do utrzymania płynności na poziomie wymaganym przez przepisy prawa lub regulacje nadzorcze, a także gdy wymaga tego bezpieczeństwo.</w:t>
            </w:r>
            <w:r w:rsidRPr="00751643">
              <w:rPr>
                <w:rFonts w:ascii="Arial" w:hAnsi="Arial" w:cs="Arial"/>
                <w:color w:val="000000" w:themeColor="text1"/>
              </w:rPr>
              <w:t xml:space="preserve"> </w:t>
            </w:r>
          </w:p>
          <w:p w:rsidR="006A2B86" w:rsidRPr="00751643" w:rsidRDefault="001261D1" w:rsidP="003751B0">
            <w:pPr>
              <w:rPr>
                <w:rFonts w:ascii="Arial" w:hAnsi="Arial" w:cs="Arial"/>
                <w:color w:val="000000" w:themeColor="text1"/>
              </w:rPr>
            </w:pPr>
            <w:r w:rsidRPr="00751643">
              <w:rPr>
                <w:rFonts w:ascii="Arial" w:hAnsi="Arial" w:cs="Arial"/>
                <w:color w:val="000000" w:themeColor="text1"/>
              </w:rPr>
              <w:t>Rada</w:t>
            </w:r>
            <w:r w:rsidR="00492107" w:rsidRPr="00751643">
              <w:rPr>
                <w:rFonts w:ascii="Arial" w:hAnsi="Arial" w:cs="Arial"/>
                <w:color w:val="000000" w:themeColor="text1"/>
              </w:rPr>
              <w:t xml:space="preserve"> Nadzorcza Navigator</w:t>
            </w:r>
            <w:r w:rsidRPr="00751643">
              <w:rPr>
                <w:rFonts w:ascii="Arial" w:hAnsi="Arial" w:cs="Arial"/>
                <w:color w:val="000000" w:themeColor="text1"/>
              </w:rPr>
              <w:t xml:space="preserve"> wskazuje</w:t>
            </w:r>
            <w:r w:rsidR="00492107" w:rsidRPr="00751643">
              <w:rPr>
                <w:rFonts w:ascii="Arial" w:hAnsi="Arial" w:cs="Arial"/>
                <w:color w:val="000000" w:themeColor="text1"/>
              </w:rPr>
              <w:t xml:space="preserve"> jednocześnie</w:t>
            </w:r>
            <w:r w:rsidR="006A2B86" w:rsidRPr="00751643">
              <w:rPr>
                <w:rFonts w:ascii="Arial" w:hAnsi="Arial" w:cs="Arial"/>
                <w:color w:val="000000" w:themeColor="text1"/>
              </w:rPr>
              <w:t xml:space="preserve"> na wysoką płynność</w:t>
            </w:r>
            <w:r w:rsidR="00503C02" w:rsidRPr="00751643">
              <w:rPr>
                <w:rFonts w:ascii="Arial" w:hAnsi="Arial" w:cs="Arial"/>
                <w:color w:val="000000" w:themeColor="text1"/>
              </w:rPr>
              <w:t xml:space="preserve"> finansową Navigator wynikającą</w:t>
            </w:r>
            <w:r w:rsidR="006A2B86" w:rsidRPr="00751643">
              <w:rPr>
                <w:rFonts w:ascii="Arial" w:hAnsi="Arial" w:cs="Arial"/>
                <w:color w:val="000000" w:themeColor="text1"/>
              </w:rPr>
              <w:t xml:space="preserve"> z dostatecznej ilości płynnych środków.</w:t>
            </w:r>
          </w:p>
          <w:p w:rsidR="00492107" w:rsidRPr="00751643" w:rsidRDefault="00503C02" w:rsidP="003751B0">
            <w:pPr>
              <w:rPr>
                <w:rFonts w:ascii="Arial" w:hAnsi="Arial" w:cs="Arial"/>
                <w:color w:val="000000" w:themeColor="text1"/>
              </w:rPr>
            </w:pPr>
            <w:r w:rsidRPr="00751643">
              <w:rPr>
                <w:rFonts w:ascii="Arial" w:hAnsi="Arial" w:cs="Arial"/>
                <w:color w:val="000000" w:themeColor="text1"/>
              </w:rPr>
              <w:t xml:space="preserve">Niezależnie od powyższego zarząd podmiotu dominującego tj. Navigator Capital S.A. w lipcu 2012 r. podjął uchwałę zawierającą deklarację Navigator Capital S.A. gotowości ewentualnego dofinansowania Navigator w przypadku braku płynności. </w:t>
            </w:r>
          </w:p>
          <w:p w:rsidR="001261D1" w:rsidRPr="00751643" w:rsidRDefault="00492107" w:rsidP="003751B0">
            <w:pPr>
              <w:rPr>
                <w:rFonts w:ascii="Arial" w:hAnsi="Arial" w:cs="Arial"/>
                <w:color w:val="000000" w:themeColor="text1"/>
              </w:rPr>
            </w:pPr>
            <w:r w:rsidRPr="00751643">
              <w:rPr>
                <w:rFonts w:ascii="Arial" w:hAnsi="Arial" w:cs="Arial"/>
                <w:color w:val="000000" w:themeColor="text1"/>
              </w:rPr>
              <w:t xml:space="preserve">Decyzje w zakresie dywidendy będą uzależniane od potrzeby </w:t>
            </w:r>
            <w:r w:rsidRPr="00751643">
              <w:rPr>
                <w:rFonts w:ascii="Arial" w:hAnsi="Arial" w:cs="Arial"/>
                <w:color w:val="000000" w:themeColor="text1"/>
              </w:rPr>
              <w:lastRenderedPageBreak/>
              <w:t>utrzymywania odpowiedniego poziomu kapitałów własnych oraz realizacji strategicznych celów Navigator, a także będą uwzględniać rekomendacje i indywidualne zalecenia wydane przez organy nadzoru. Decyzje w zakresie wypłaty dywidendy będą również wymagały zgody Rady Nadzorczej Navigator.</w:t>
            </w:r>
          </w:p>
          <w:p w:rsidR="001261D1" w:rsidRPr="00751643" w:rsidRDefault="00492107" w:rsidP="003751B0">
            <w:pPr>
              <w:rPr>
                <w:rFonts w:ascii="Arial" w:hAnsi="Arial" w:cs="Arial"/>
                <w:color w:val="000000" w:themeColor="text1"/>
              </w:rPr>
            </w:pPr>
            <w:r w:rsidRPr="00751643">
              <w:rPr>
                <w:rFonts w:ascii="Arial" w:hAnsi="Arial" w:cs="Arial"/>
                <w:color w:val="000000" w:themeColor="text1"/>
              </w:rPr>
              <w:t>Rada Nadzorcza rekomenduje:</w:t>
            </w:r>
          </w:p>
          <w:p w:rsidR="001261D1" w:rsidRPr="00751643" w:rsidRDefault="00492107" w:rsidP="00413C42">
            <w:pPr>
              <w:pStyle w:val="Akapitzlist"/>
              <w:numPr>
                <w:ilvl w:val="0"/>
                <w:numId w:val="30"/>
              </w:numPr>
              <w:rPr>
                <w:rFonts w:ascii="Arial" w:hAnsi="Arial" w:cs="Arial"/>
                <w:color w:val="000000" w:themeColor="text1"/>
              </w:rPr>
            </w:pPr>
            <w:r w:rsidRPr="00751643">
              <w:rPr>
                <w:rFonts w:ascii="Arial" w:hAnsi="Arial" w:cs="Arial"/>
                <w:color w:val="000000" w:themeColor="text1"/>
              </w:rPr>
              <w:t xml:space="preserve">dokonywanie </w:t>
            </w:r>
            <w:r w:rsidR="001261D1" w:rsidRPr="00751643">
              <w:rPr>
                <w:rFonts w:ascii="Arial" w:hAnsi="Arial" w:cs="Arial"/>
                <w:color w:val="000000" w:themeColor="text1"/>
              </w:rPr>
              <w:t xml:space="preserve">cyklicznego przeglądu i aktualizacji awaryjnych planów kapitałowych. </w:t>
            </w:r>
          </w:p>
          <w:p w:rsidR="001261D1" w:rsidRPr="00751643" w:rsidRDefault="00492107" w:rsidP="00413C42">
            <w:pPr>
              <w:pStyle w:val="Akapitzlist"/>
              <w:numPr>
                <w:ilvl w:val="0"/>
                <w:numId w:val="30"/>
              </w:numPr>
              <w:rPr>
                <w:rFonts w:ascii="Arial" w:hAnsi="Arial" w:cs="Arial"/>
                <w:color w:val="000000" w:themeColor="text1"/>
              </w:rPr>
            </w:pPr>
            <w:r w:rsidRPr="00751643">
              <w:rPr>
                <w:rFonts w:ascii="Arial" w:hAnsi="Arial" w:cs="Arial"/>
                <w:color w:val="000000" w:themeColor="text1"/>
              </w:rPr>
              <w:t xml:space="preserve">uwzględnianie wytycznych ESMA w przedmiocie zasad wypłaty dywidendy – w przypadku zamiaru </w:t>
            </w:r>
            <w:r w:rsidR="001261D1" w:rsidRPr="00751643">
              <w:rPr>
                <w:rFonts w:ascii="Arial" w:hAnsi="Arial" w:cs="Arial"/>
                <w:color w:val="000000" w:themeColor="text1"/>
              </w:rPr>
              <w:t xml:space="preserve">takiej wypłaty. </w:t>
            </w:r>
          </w:p>
          <w:p w:rsidR="00313F4D" w:rsidRPr="00751643" w:rsidRDefault="00313F4D" w:rsidP="00413C42">
            <w:pPr>
              <w:pStyle w:val="Akapitzlist"/>
              <w:rPr>
                <w:rFonts w:ascii="Arial" w:hAnsi="Arial" w:cs="Arial"/>
                <w:color w:val="000000" w:themeColor="text1"/>
              </w:rPr>
            </w:pPr>
          </w:p>
        </w:tc>
      </w:tr>
      <w:tr w:rsidR="001261D1" w:rsidRPr="00DB6589" w:rsidTr="00413C42">
        <w:tc>
          <w:tcPr>
            <w:tcW w:w="1697" w:type="dxa"/>
          </w:tcPr>
          <w:p w:rsidR="00D2450B" w:rsidRPr="00751643" w:rsidRDefault="00D2450B" w:rsidP="00D2450B">
            <w:pPr>
              <w:rPr>
                <w:rFonts w:ascii="Arial" w:hAnsi="Arial" w:cs="Arial"/>
                <w:color w:val="000000" w:themeColor="text1"/>
              </w:rPr>
            </w:pPr>
            <w:r w:rsidRPr="00751643">
              <w:rPr>
                <w:rFonts w:ascii="Arial" w:hAnsi="Arial" w:cs="Arial"/>
                <w:color w:val="000000" w:themeColor="text1"/>
              </w:rPr>
              <w:lastRenderedPageBreak/>
              <w:t xml:space="preserve">Rozdział </w:t>
            </w:r>
            <w:r w:rsidR="000C39E9" w:rsidRPr="00751643">
              <w:rPr>
                <w:rFonts w:ascii="Arial" w:hAnsi="Arial" w:cs="Arial"/>
                <w:color w:val="000000" w:themeColor="text1"/>
              </w:rPr>
              <w:t>4</w:t>
            </w:r>
          </w:p>
          <w:p w:rsidR="001261D1" w:rsidRPr="00751643" w:rsidRDefault="00D2450B" w:rsidP="00D2450B">
            <w:pPr>
              <w:rPr>
                <w:rFonts w:ascii="Arial" w:hAnsi="Arial" w:cs="Arial"/>
                <w:color w:val="000000" w:themeColor="text1"/>
              </w:rPr>
            </w:pPr>
            <w:r w:rsidRPr="00751643">
              <w:rPr>
                <w:rFonts w:ascii="Arial" w:hAnsi="Arial" w:cs="Arial"/>
                <w:color w:val="000000" w:themeColor="text1"/>
              </w:rPr>
              <w:t>Organ nadzorujący</w:t>
            </w:r>
          </w:p>
        </w:tc>
        <w:tc>
          <w:tcPr>
            <w:tcW w:w="546" w:type="dxa"/>
          </w:tcPr>
          <w:p w:rsidR="001261D1" w:rsidRPr="00751643" w:rsidRDefault="00246261" w:rsidP="003751B0">
            <w:pPr>
              <w:rPr>
                <w:rFonts w:ascii="Arial" w:hAnsi="Arial" w:cs="Arial"/>
                <w:color w:val="000000" w:themeColor="text1"/>
              </w:rPr>
            </w:pPr>
            <w:r w:rsidRPr="00751643">
              <w:rPr>
                <w:rFonts w:ascii="Arial" w:hAnsi="Arial" w:cs="Arial"/>
                <w:color w:val="000000" w:themeColor="text1"/>
              </w:rPr>
              <w:t>7</w:t>
            </w:r>
          </w:p>
        </w:tc>
        <w:tc>
          <w:tcPr>
            <w:tcW w:w="1244" w:type="dxa"/>
          </w:tcPr>
          <w:p w:rsidR="001261D1" w:rsidRPr="00751643" w:rsidRDefault="001261D1" w:rsidP="003751B0">
            <w:pPr>
              <w:rPr>
                <w:rFonts w:ascii="Arial" w:hAnsi="Arial" w:cs="Arial"/>
                <w:color w:val="000000" w:themeColor="text1"/>
              </w:rPr>
            </w:pPr>
            <w:r w:rsidRPr="00751643">
              <w:rPr>
                <w:rFonts w:ascii="Arial" w:hAnsi="Arial" w:cs="Arial"/>
                <w:color w:val="000000" w:themeColor="text1"/>
                <w:shd w:val="clear" w:color="auto" w:fill="FFFFFF"/>
              </w:rPr>
              <w:t xml:space="preserve">§ 22 ust. </w:t>
            </w:r>
            <w:r w:rsidR="00222988" w:rsidRPr="00751643">
              <w:rPr>
                <w:rFonts w:ascii="Arial" w:hAnsi="Arial" w:cs="Arial"/>
                <w:color w:val="000000" w:themeColor="text1"/>
                <w:shd w:val="clear" w:color="auto" w:fill="FFFFFF"/>
              </w:rPr>
              <w:t xml:space="preserve">4 i </w:t>
            </w:r>
            <w:r w:rsidRPr="00751643">
              <w:rPr>
                <w:rFonts w:ascii="Arial" w:hAnsi="Arial" w:cs="Arial"/>
                <w:color w:val="000000" w:themeColor="text1"/>
                <w:shd w:val="clear" w:color="auto" w:fill="FFFFFF"/>
              </w:rPr>
              <w:t>6</w:t>
            </w:r>
          </w:p>
        </w:tc>
        <w:tc>
          <w:tcPr>
            <w:tcW w:w="6359" w:type="dxa"/>
          </w:tcPr>
          <w:p w:rsidR="001261D1" w:rsidRPr="00751643" w:rsidRDefault="001261D1" w:rsidP="003751B0">
            <w:pPr>
              <w:rPr>
                <w:rFonts w:ascii="Arial" w:hAnsi="Arial" w:cs="Arial"/>
                <w:color w:val="000000" w:themeColor="text1"/>
              </w:rPr>
            </w:pPr>
            <w:r w:rsidRPr="00751643">
              <w:rPr>
                <w:rFonts w:ascii="Arial" w:hAnsi="Arial" w:cs="Arial"/>
                <w:color w:val="000000" w:themeColor="text1"/>
              </w:rPr>
              <w:t>Zasad</w:t>
            </w:r>
            <w:r w:rsidR="00313F4D" w:rsidRPr="00751643">
              <w:rPr>
                <w:rFonts w:ascii="Arial" w:hAnsi="Arial" w:cs="Arial"/>
                <w:color w:val="000000" w:themeColor="text1"/>
              </w:rPr>
              <w:t>y zostały</w:t>
            </w:r>
            <w:r w:rsidRPr="00751643">
              <w:rPr>
                <w:rFonts w:ascii="Arial" w:hAnsi="Arial" w:cs="Arial"/>
                <w:color w:val="000000" w:themeColor="text1"/>
              </w:rPr>
              <w:t xml:space="preserve"> zaimplementowan</w:t>
            </w:r>
            <w:r w:rsidR="00313F4D" w:rsidRPr="00751643">
              <w:rPr>
                <w:rFonts w:ascii="Arial" w:hAnsi="Arial" w:cs="Arial"/>
                <w:color w:val="000000" w:themeColor="text1"/>
              </w:rPr>
              <w:t>e</w:t>
            </w:r>
            <w:r w:rsidRPr="00751643">
              <w:rPr>
                <w:rFonts w:ascii="Arial" w:hAnsi="Arial" w:cs="Arial"/>
                <w:color w:val="000000" w:themeColor="text1"/>
              </w:rPr>
              <w:t xml:space="preserve">. </w:t>
            </w:r>
          </w:p>
          <w:p w:rsidR="00313F4D" w:rsidRPr="00751643" w:rsidRDefault="00313F4D" w:rsidP="003751B0">
            <w:pPr>
              <w:rPr>
                <w:rFonts w:ascii="Arial" w:hAnsi="Arial" w:cs="Arial"/>
                <w:color w:val="000000" w:themeColor="text1"/>
              </w:rPr>
            </w:pPr>
            <w:r w:rsidRPr="00751643">
              <w:rPr>
                <w:rFonts w:ascii="Arial" w:hAnsi="Arial" w:cs="Arial"/>
                <w:color w:val="000000" w:themeColor="text1"/>
              </w:rPr>
              <w:t>Rada Nadzorcza Navigator współpracuje z podmiotem uprawnionym do badania sprawozdań finansowych (w Navigator nie funkcjonuje komitet audytu).</w:t>
            </w:r>
          </w:p>
          <w:p w:rsidR="00313F4D" w:rsidRPr="00751643" w:rsidRDefault="00313F4D" w:rsidP="003751B0">
            <w:pPr>
              <w:rPr>
                <w:rFonts w:ascii="Arial" w:hAnsi="Arial" w:cs="Arial"/>
                <w:color w:val="000000" w:themeColor="text1"/>
              </w:rPr>
            </w:pPr>
            <w:r w:rsidRPr="00751643">
              <w:rPr>
                <w:rFonts w:ascii="Arial" w:hAnsi="Arial" w:cs="Arial"/>
                <w:color w:val="000000" w:themeColor="text1"/>
              </w:rPr>
              <w:t>Rada Nadzorcza Navigator rekomenduje zintensyfikowanie tej współpracy oraz ustalanie jej zasad na etapie wyboru podmiotu uprawnionego do badania sprawozdań finansowych.</w:t>
            </w:r>
          </w:p>
          <w:p w:rsidR="001261D1" w:rsidRPr="00751643" w:rsidRDefault="001261D1" w:rsidP="003751B0">
            <w:pPr>
              <w:rPr>
                <w:rFonts w:ascii="Arial" w:hAnsi="Arial" w:cs="Arial"/>
                <w:color w:val="000000" w:themeColor="text1"/>
              </w:rPr>
            </w:pPr>
            <w:r w:rsidRPr="00751643">
              <w:rPr>
                <w:rFonts w:ascii="Arial" w:hAnsi="Arial" w:cs="Arial"/>
                <w:color w:val="000000" w:themeColor="text1"/>
              </w:rPr>
              <w:t xml:space="preserve"> </w:t>
            </w:r>
          </w:p>
        </w:tc>
      </w:tr>
      <w:tr w:rsidR="001261D1" w:rsidRPr="00DB6589" w:rsidTr="00413C42">
        <w:tc>
          <w:tcPr>
            <w:tcW w:w="1697" w:type="dxa"/>
          </w:tcPr>
          <w:p w:rsidR="001261D1" w:rsidRPr="00751643" w:rsidRDefault="001261D1" w:rsidP="003751B0">
            <w:pPr>
              <w:rPr>
                <w:rFonts w:ascii="Arial" w:hAnsi="Arial" w:cs="Arial"/>
                <w:color w:val="000000" w:themeColor="text1"/>
              </w:rPr>
            </w:pPr>
          </w:p>
        </w:tc>
        <w:tc>
          <w:tcPr>
            <w:tcW w:w="546" w:type="dxa"/>
          </w:tcPr>
          <w:p w:rsidR="001261D1" w:rsidRPr="00751643" w:rsidRDefault="00246261" w:rsidP="003751B0">
            <w:pPr>
              <w:rPr>
                <w:rFonts w:ascii="Arial" w:hAnsi="Arial" w:cs="Arial"/>
                <w:color w:val="000000" w:themeColor="text1"/>
              </w:rPr>
            </w:pPr>
            <w:r w:rsidRPr="00751643">
              <w:rPr>
                <w:rFonts w:ascii="Arial" w:hAnsi="Arial" w:cs="Arial"/>
                <w:color w:val="000000" w:themeColor="text1"/>
              </w:rPr>
              <w:t>8</w:t>
            </w:r>
          </w:p>
        </w:tc>
        <w:tc>
          <w:tcPr>
            <w:tcW w:w="1244" w:type="dxa"/>
          </w:tcPr>
          <w:p w:rsidR="001261D1" w:rsidRPr="00751643" w:rsidRDefault="001261D1" w:rsidP="003751B0">
            <w:pPr>
              <w:rPr>
                <w:rFonts w:ascii="Arial" w:hAnsi="Arial" w:cs="Arial"/>
                <w:color w:val="000000" w:themeColor="text1"/>
              </w:rPr>
            </w:pPr>
            <w:r w:rsidRPr="00751643">
              <w:rPr>
                <w:rFonts w:ascii="Arial" w:hAnsi="Arial" w:cs="Arial"/>
                <w:color w:val="000000" w:themeColor="text1"/>
                <w:shd w:val="clear" w:color="auto" w:fill="FFFFFF"/>
              </w:rPr>
              <w:t>§ 25</w:t>
            </w:r>
            <w:r w:rsidR="00313F4D" w:rsidRPr="00751643">
              <w:rPr>
                <w:rFonts w:ascii="Arial" w:hAnsi="Arial" w:cs="Arial"/>
                <w:color w:val="000000" w:themeColor="text1"/>
                <w:shd w:val="clear" w:color="auto" w:fill="FFFFFF"/>
              </w:rPr>
              <w:t xml:space="preserve"> ust. 1</w:t>
            </w:r>
          </w:p>
        </w:tc>
        <w:tc>
          <w:tcPr>
            <w:tcW w:w="6359" w:type="dxa"/>
          </w:tcPr>
          <w:p w:rsidR="00313F4D" w:rsidRPr="00751643" w:rsidRDefault="001261D1" w:rsidP="003751B0">
            <w:pPr>
              <w:rPr>
                <w:rFonts w:ascii="Arial" w:hAnsi="Arial" w:cs="Arial"/>
                <w:color w:val="000000" w:themeColor="text1"/>
              </w:rPr>
            </w:pPr>
            <w:r w:rsidRPr="00751643">
              <w:rPr>
                <w:rFonts w:ascii="Arial" w:hAnsi="Arial" w:cs="Arial"/>
                <w:color w:val="000000" w:themeColor="text1"/>
              </w:rPr>
              <w:t>Zasad</w:t>
            </w:r>
            <w:r w:rsidR="00313F4D" w:rsidRPr="00751643">
              <w:rPr>
                <w:rFonts w:ascii="Arial" w:hAnsi="Arial" w:cs="Arial"/>
                <w:color w:val="000000" w:themeColor="text1"/>
              </w:rPr>
              <w:t>a została</w:t>
            </w:r>
            <w:r w:rsidRPr="00751643">
              <w:rPr>
                <w:rFonts w:ascii="Arial" w:hAnsi="Arial" w:cs="Arial"/>
                <w:color w:val="000000" w:themeColor="text1"/>
              </w:rPr>
              <w:t xml:space="preserve"> zaimplementowan</w:t>
            </w:r>
            <w:r w:rsidR="00313F4D" w:rsidRPr="00751643">
              <w:rPr>
                <w:rFonts w:ascii="Arial" w:hAnsi="Arial" w:cs="Arial"/>
                <w:color w:val="000000" w:themeColor="text1"/>
              </w:rPr>
              <w:t>a</w:t>
            </w:r>
            <w:r w:rsidRPr="00751643">
              <w:rPr>
                <w:rFonts w:ascii="Arial" w:hAnsi="Arial" w:cs="Arial"/>
                <w:color w:val="000000" w:themeColor="text1"/>
              </w:rPr>
              <w:t xml:space="preserve">. </w:t>
            </w:r>
          </w:p>
          <w:p w:rsidR="00313F4D" w:rsidRPr="00751643" w:rsidRDefault="001261D1" w:rsidP="003751B0">
            <w:pPr>
              <w:rPr>
                <w:rFonts w:ascii="Arial" w:hAnsi="Arial" w:cs="Arial"/>
                <w:color w:val="000000" w:themeColor="text1"/>
              </w:rPr>
            </w:pPr>
            <w:r w:rsidRPr="00751643">
              <w:rPr>
                <w:rFonts w:ascii="Arial" w:hAnsi="Arial" w:cs="Arial"/>
                <w:color w:val="000000" w:themeColor="text1"/>
              </w:rPr>
              <w:t>Rad</w:t>
            </w:r>
            <w:r w:rsidR="00313F4D" w:rsidRPr="00751643">
              <w:rPr>
                <w:rFonts w:ascii="Arial" w:hAnsi="Arial" w:cs="Arial"/>
                <w:color w:val="000000" w:themeColor="text1"/>
              </w:rPr>
              <w:t>a</w:t>
            </w:r>
            <w:r w:rsidRPr="00751643">
              <w:rPr>
                <w:rFonts w:ascii="Arial" w:hAnsi="Arial" w:cs="Arial"/>
                <w:color w:val="000000" w:themeColor="text1"/>
              </w:rPr>
              <w:t xml:space="preserve"> Nadzorcz</w:t>
            </w:r>
            <w:r w:rsidR="00313F4D" w:rsidRPr="00751643">
              <w:rPr>
                <w:rFonts w:ascii="Arial" w:hAnsi="Arial" w:cs="Arial"/>
                <w:color w:val="000000" w:themeColor="text1"/>
              </w:rPr>
              <w:t>a Navigator</w:t>
            </w:r>
            <w:r w:rsidRPr="00751643">
              <w:rPr>
                <w:rFonts w:ascii="Arial" w:hAnsi="Arial" w:cs="Arial"/>
                <w:color w:val="000000" w:themeColor="text1"/>
              </w:rPr>
              <w:t xml:space="preserve"> </w:t>
            </w:r>
            <w:r w:rsidR="00313F4D" w:rsidRPr="00751643">
              <w:rPr>
                <w:rFonts w:ascii="Arial" w:hAnsi="Arial" w:cs="Arial"/>
                <w:color w:val="000000" w:themeColor="text1"/>
              </w:rPr>
              <w:t>stale</w:t>
            </w:r>
            <w:r w:rsidRPr="00751643">
              <w:rPr>
                <w:rFonts w:ascii="Arial" w:hAnsi="Arial" w:cs="Arial"/>
                <w:color w:val="000000" w:themeColor="text1"/>
              </w:rPr>
              <w:t xml:space="preserve"> sprawuj</w:t>
            </w:r>
            <w:r w:rsidR="00313F4D" w:rsidRPr="00751643">
              <w:rPr>
                <w:rFonts w:ascii="Arial" w:hAnsi="Arial" w:cs="Arial"/>
                <w:color w:val="000000" w:themeColor="text1"/>
              </w:rPr>
              <w:t>e</w:t>
            </w:r>
            <w:r w:rsidRPr="00751643">
              <w:rPr>
                <w:rFonts w:ascii="Arial" w:hAnsi="Arial" w:cs="Arial"/>
                <w:color w:val="000000" w:themeColor="text1"/>
              </w:rPr>
              <w:t xml:space="preserve"> nadzór nad działalnością </w:t>
            </w:r>
            <w:r w:rsidR="00313F4D" w:rsidRPr="00751643">
              <w:rPr>
                <w:rFonts w:ascii="Arial" w:hAnsi="Arial" w:cs="Arial"/>
                <w:color w:val="000000" w:themeColor="text1"/>
              </w:rPr>
              <w:t>Navigator</w:t>
            </w:r>
            <w:r w:rsidRPr="00751643">
              <w:rPr>
                <w:rFonts w:ascii="Arial" w:hAnsi="Arial" w:cs="Arial"/>
                <w:color w:val="000000" w:themeColor="text1"/>
              </w:rPr>
              <w:t xml:space="preserve">, w ramach regularnych oraz zwoływanych w miarę zaistnienia konieczności posiedzeń </w:t>
            </w:r>
            <w:r w:rsidR="00313F4D" w:rsidRPr="00751643">
              <w:rPr>
                <w:rFonts w:ascii="Arial" w:hAnsi="Arial" w:cs="Arial"/>
                <w:color w:val="000000" w:themeColor="text1"/>
              </w:rPr>
              <w:t>R</w:t>
            </w:r>
            <w:r w:rsidRPr="00751643">
              <w:rPr>
                <w:rFonts w:ascii="Arial" w:hAnsi="Arial" w:cs="Arial"/>
                <w:color w:val="000000" w:themeColor="text1"/>
              </w:rPr>
              <w:t xml:space="preserve">ady </w:t>
            </w:r>
            <w:r w:rsidR="00313F4D" w:rsidRPr="00751643">
              <w:rPr>
                <w:rFonts w:ascii="Arial" w:hAnsi="Arial" w:cs="Arial"/>
                <w:color w:val="000000" w:themeColor="text1"/>
              </w:rPr>
              <w:t>N</w:t>
            </w:r>
            <w:r w:rsidRPr="00751643">
              <w:rPr>
                <w:rFonts w:ascii="Arial" w:hAnsi="Arial" w:cs="Arial"/>
                <w:color w:val="000000" w:themeColor="text1"/>
              </w:rPr>
              <w:t xml:space="preserve">adzorczej. </w:t>
            </w:r>
          </w:p>
          <w:p w:rsidR="00313F4D" w:rsidRPr="00751643" w:rsidRDefault="00313F4D" w:rsidP="003751B0">
            <w:pPr>
              <w:rPr>
                <w:rFonts w:ascii="Arial" w:hAnsi="Arial" w:cs="Arial"/>
                <w:color w:val="000000" w:themeColor="text1"/>
              </w:rPr>
            </w:pPr>
            <w:r w:rsidRPr="00751643">
              <w:rPr>
                <w:rFonts w:ascii="Arial" w:hAnsi="Arial" w:cs="Arial"/>
                <w:color w:val="000000" w:themeColor="text1"/>
              </w:rPr>
              <w:t>Z uwagi na fakt, iż</w:t>
            </w:r>
            <w:r w:rsidR="00246261" w:rsidRPr="00751643">
              <w:rPr>
                <w:rFonts w:ascii="Arial" w:hAnsi="Arial" w:cs="Arial"/>
                <w:color w:val="000000" w:themeColor="text1"/>
              </w:rPr>
              <w:t xml:space="preserve"> w</w:t>
            </w:r>
            <w:r w:rsidRPr="00751643">
              <w:rPr>
                <w:rFonts w:ascii="Arial" w:hAnsi="Arial" w:cs="Arial"/>
                <w:color w:val="000000" w:themeColor="text1"/>
              </w:rPr>
              <w:t xml:space="preserve"> Navigator nie działa komitet audytu ani też inne komitety, którym powierzono określone sprawy związane z działalnością Navigator posiedzenia Rady Nadzorczej Navigator odbywają się nie rzadziej niż co dwa miesiące. </w:t>
            </w:r>
          </w:p>
          <w:p w:rsidR="001261D1" w:rsidRPr="00751643" w:rsidRDefault="001261D1" w:rsidP="003751B0">
            <w:pPr>
              <w:rPr>
                <w:rFonts w:ascii="Arial" w:hAnsi="Arial" w:cs="Arial"/>
                <w:color w:val="000000" w:themeColor="text1"/>
              </w:rPr>
            </w:pPr>
          </w:p>
        </w:tc>
      </w:tr>
      <w:tr w:rsidR="00312A97" w:rsidRPr="00DB6589" w:rsidTr="007F7269">
        <w:tc>
          <w:tcPr>
            <w:tcW w:w="1697" w:type="dxa"/>
          </w:tcPr>
          <w:p w:rsidR="00312A97" w:rsidRPr="00751643" w:rsidRDefault="00312A97" w:rsidP="003751B0">
            <w:pPr>
              <w:rPr>
                <w:rFonts w:ascii="Arial" w:hAnsi="Arial" w:cs="Arial"/>
                <w:color w:val="000000" w:themeColor="text1"/>
              </w:rPr>
            </w:pPr>
          </w:p>
        </w:tc>
        <w:tc>
          <w:tcPr>
            <w:tcW w:w="546" w:type="dxa"/>
          </w:tcPr>
          <w:p w:rsidR="00312A97" w:rsidRPr="00751643" w:rsidRDefault="00312A97" w:rsidP="003751B0">
            <w:pPr>
              <w:rPr>
                <w:rFonts w:ascii="Arial" w:hAnsi="Arial" w:cs="Arial"/>
                <w:color w:val="000000" w:themeColor="text1"/>
              </w:rPr>
            </w:pPr>
          </w:p>
        </w:tc>
        <w:tc>
          <w:tcPr>
            <w:tcW w:w="1244" w:type="dxa"/>
          </w:tcPr>
          <w:p w:rsidR="00312A97" w:rsidRPr="00751643" w:rsidRDefault="00312A97" w:rsidP="003751B0">
            <w:pPr>
              <w:rPr>
                <w:rStyle w:val="apple-converted-space"/>
                <w:rFonts w:ascii="Arial" w:hAnsi="Arial" w:cs="Arial"/>
                <w:color w:val="000000" w:themeColor="text1"/>
                <w:shd w:val="clear" w:color="auto" w:fill="FFFFFF"/>
              </w:rPr>
            </w:pPr>
            <w:r w:rsidRPr="00751643">
              <w:rPr>
                <w:rFonts w:ascii="Arial" w:hAnsi="Arial" w:cs="Arial"/>
                <w:color w:val="000000" w:themeColor="text1"/>
                <w:shd w:val="clear" w:color="auto" w:fill="FFFFFF"/>
              </w:rPr>
              <w:t>§ 25 ust. 2-3</w:t>
            </w:r>
          </w:p>
        </w:tc>
        <w:tc>
          <w:tcPr>
            <w:tcW w:w="6359" w:type="dxa"/>
          </w:tcPr>
          <w:p w:rsidR="00E32EB7" w:rsidRPr="00751643" w:rsidRDefault="00312A97" w:rsidP="00312A97">
            <w:pPr>
              <w:rPr>
                <w:rFonts w:ascii="Arial" w:hAnsi="Arial" w:cs="Arial"/>
                <w:color w:val="000000" w:themeColor="text1"/>
              </w:rPr>
            </w:pPr>
            <w:r w:rsidRPr="00751643">
              <w:rPr>
                <w:rFonts w:ascii="Arial" w:hAnsi="Arial" w:cs="Arial"/>
                <w:color w:val="000000" w:themeColor="text1"/>
              </w:rPr>
              <w:t xml:space="preserve">Zasady określone </w:t>
            </w:r>
            <w:r w:rsidRPr="00751643">
              <w:rPr>
                <w:rStyle w:val="apple-converted-space"/>
                <w:rFonts w:ascii="Arial" w:hAnsi="Arial" w:cs="Arial"/>
                <w:color w:val="000000" w:themeColor="text1"/>
                <w:shd w:val="clear" w:color="auto" w:fill="FFFFFF"/>
              </w:rPr>
              <w:t xml:space="preserve"> w </w:t>
            </w:r>
            <w:r w:rsidRPr="00751643">
              <w:rPr>
                <w:rFonts w:ascii="Arial" w:hAnsi="Arial" w:cs="Arial"/>
                <w:color w:val="000000" w:themeColor="text1"/>
                <w:shd w:val="clear" w:color="auto" w:fill="FFFFFF"/>
              </w:rPr>
              <w:t xml:space="preserve">§ 25 ust. 2-3 dot. nie zostały zaimplementowana do wewnętrznych regulacji Navigator jednakże gdy wystąpią określone sytuacje Zasady będą stosowane. </w:t>
            </w:r>
          </w:p>
          <w:p w:rsidR="00694BD8" w:rsidRPr="00751643" w:rsidRDefault="00694BD8" w:rsidP="00E32EB7">
            <w:pPr>
              <w:rPr>
                <w:rFonts w:ascii="Arial" w:hAnsi="Arial" w:cs="Arial"/>
                <w:color w:val="000000" w:themeColor="text1"/>
              </w:rPr>
            </w:pPr>
          </w:p>
        </w:tc>
      </w:tr>
      <w:tr w:rsidR="00312A97" w:rsidRPr="00DB6589" w:rsidTr="007F7269">
        <w:tc>
          <w:tcPr>
            <w:tcW w:w="1697" w:type="dxa"/>
          </w:tcPr>
          <w:p w:rsidR="00312A97" w:rsidRPr="00751643" w:rsidRDefault="00312A97" w:rsidP="003751B0">
            <w:pPr>
              <w:rPr>
                <w:rFonts w:ascii="Arial" w:hAnsi="Arial" w:cs="Arial"/>
                <w:color w:val="000000" w:themeColor="text1"/>
              </w:rPr>
            </w:pPr>
          </w:p>
        </w:tc>
        <w:tc>
          <w:tcPr>
            <w:tcW w:w="546" w:type="dxa"/>
          </w:tcPr>
          <w:p w:rsidR="00312A97" w:rsidRPr="00751643" w:rsidRDefault="00312A97" w:rsidP="003751B0">
            <w:pPr>
              <w:rPr>
                <w:rFonts w:ascii="Arial" w:hAnsi="Arial" w:cs="Arial"/>
                <w:color w:val="000000" w:themeColor="text1"/>
              </w:rPr>
            </w:pPr>
          </w:p>
        </w:tc>
        <w:tc>
          <w:tcPr>
            <w:tcW w:w="1244" w:type="dxa"/>
          </w:tcPr>
          <w:p w:rsidR="00312A97" w:rsidRPr="00751643" w:rsidRDefault="00312A97" w:rsidP="00312A97">
            <w:pPr>
              <w:rPr>
                <w:rFonts w:ascii="Arial" w:hAnsi="Arial" w:cs="Arial"/>
                <w:color w:val="000000" w:themeColor="text1"/>
                <w:shd w:val="clear" w:color="auto" w:fill="FFFFFF"/>
              </w:rPr>
            </w:pPr>
            <w:r w:rsidRPr="00751643">
              <w:rPr>
                <w:rFonts w:ascii="Arial" w:hAnsi="Arial" w:cs="Arial"/>
                <w:color w:val="000000" w:themeColor="text1"/>
                <w:shd w:val="clear" w:color="auto" w:fill="FFFFFF"/>
              </w:rPr>
              <w:t>§ 27</w:t>
            </w:r>
          </w:p>
        </w:tc>
        <w:tc>
          <w:tcPr>
            <w:tcW w:w="6359" w:type="dxa"/>
          </w:tcPr>
          <w:p w:rsidR="00312A97" w:rsidRPr="00751643" w:rsidRDefault="00312A97" w:rsidP="00312A97">
            <w:pPr>
              <w:rPr>
                <w:rFonts w:ascii="Arial" w:hAnsi="Arial" w:cs="Arial"/>
                <w:color w:val="000000" w:themeColor="text1"/>
              </w:rPr>
            </w:pPr>
            <w:r w:rsidRPr="00751643">
              <w:rPr>
                <w:rFonts w:ascii="Arial" w:hAnsi="Arial" w:cs="Arial"/>
                <w:color w:val="000000" w:themeColor="text1"/>
              </w:rPr>
              <w:t>Zasada została zaimplementowana.</w:t>
            </w:r>
          </w:p>
          <w:p w:rsidR="00312A97" w:rsidRPr="00751643" w:rsidRDefault="00312A97" w:rsidP="00312A97">
            <w:pPr>
              <w:rPr>
                <w:rFonts w:ascii="Arial" w:hAnsi="Arial" w:cs="Arial"/>
                <w:color w:val="000000" w:themeColor="text1"/>
              </w:rPr>
            </w:pPr>
            <w:r w:rsidRPr="00751643">
              <w:rPr>
                <w:rFonts w:ascii="Arial" w:hAnsi="Arial" w:cs="Arial"/>
                <w:color w:val="000000" w:themeColor="text1"/>
              </w:rPr>
              <w:lastRenderedPageBreak/>
              <w:t xml:space="preserve">Rada Nadzorcza dokonuje regularnie (tj. raz w roku) oceny stosowania Zasad czego efektem jest niniejszy dokument. </w:t>
            </w:r>
          </w:p>
          <w:p w:rsidR="00694BD8" w:rsidRPr="00751643" w:rsidRDefault="00C50FE0" w:rsidP="00312A97">
            <w:pPr>
              <w:rPr>
                <w:rFonts w:ascii="Arial" w:hAnsi="Arial" w:cs="Arial"/>
                <w:color w:val="000000" w:themeColor="text1"/>
              </w:rPr>
            </w:pPr>
            <w:r w:rsidRPr="00751643">
              <w:rPr>
                <w:rFonts w:ascii="Arial" w:hAnsi="Arial" w:cs="Arial"/>
                <w:color w:val="000000" w:themeColor="text1"/>
              </w:rPr>
              <w:t>Wyniki O</w:t>
            </w:r>
            <w:r w:rsidR="00312A97" w:rsidRPr="00751643">
              <w:rPr>
                <w:rFonts w:ascii="Arial" w:hAnsi="Arial" w:cs="Arial"/>
                <w:color w:val="000000" w:themeColor="text1"/>
              </w:rPr>
              <w:t>ceny za 2015 r. zostaną udostępnione na</w:t>
            </w:r>
            <w:r w:rsidRPr="00751643">
              <w:rPr>
                <w:rFonts w:ascii="Arial" w:hAnsi="Arial" w:cs="Arial"/>
                <w:color w:val="000000" w:themeColor="text1"/>
              </w:rPr>
              <w:t xml:space="preserve"> str</w:t>
            </w:r>
            <w:r w:rsidR="00525226" w:rsidRPr="00751643">
              <w:rPr>
                <w:rFonts w:ascii="Arial" w:hAnsi="Arial" w:cs="Arial"/>
                <w:color w:val="000000" w:themeColor="text1"/>
              </w:rPr>
              <w:t xml:space="preserve">onie internetowej Navigator w zakładce „Dokumenty” oraz zostaną przekazane pozostałym organom Navigator tj. Zarządowi oraz Walnemu Zgromadzeniu Navigator. </w:t>
            </w:r>
          </w:p>
          <w:p w:rsidR="00312A97" w:rsidRPr="00751643" w:rsidRDefault="00312A97" w:rsidP="00312A97">
            <w:pPr>
              <w:rPr>
                <w:rFonts w:ascii="Arial" w:hAnsi="Arial" w:cs="Arial"/>
                <w:color w:val="000000" w:themeColor="text1"/>
              </w:rPr>
            </w:pPr>
            <w:r w:rsidRPr="00751643">
              <w:rPr>
                <w:rFonts w:ascii="Arial" w:hAnsi="Arial" w:cs="Arial"/>
                <w:color w:val="000000" w:themeColor="text1"/>
              </w:rPr>
              <w:t xml:space="preserve"> </w:t>
            </w:r>
          </w:p>
        </w:tc>
      </w:tr>
      <w:tr w:rsidR="001261D1" w:rsidRPr="00DB6589" w:rsidTr="00413C42">
        <w:tc>
          <w:tcPr>
            <w:tcW w:w="1697" w:type="dxa"/>
          </w:tcPr>
          <w:p w:rsidR="001261D1" w:rsidRPr="00751643" w:rsidRDefault="001261D1" w:rsidP="003751B0">
            <w:pPr>
              <w:rPr>
                <w:rFonts w:ascii="Arial" w:hAnsi="Arial" w:cs="Arial"/>
                <w:color w:val="000000" w:themeColor="text1"/>
              </w:rPr>
            </w:pPr>
            <w:r w:rsidRPr="00751643">
              <w:rPr>
                <w:rFonts w:ascii="Arial" w:hAnsi="Arial" w:cs="Arial"/>
                <w:color w:val="000000" w:themeColor="text1"/>
              </w:rPr>
              <w:lastRenderedPageBreak/>
              <w:t xml:space="preserve">Rozdział </w:t>
            </w:r>
            <w:r w:rsidR="000C39E9" w:rsidRPr="00751643">
              <w:rPr>
                <w:rFonts w:ascii="Arial" w:hAnsi="Arial" w:cs="Arial"/>
                <w:color w:val="000000" w:themeColor="text1"/>
              </w:rPr>
              <w:t>5</w:t>
            </w:r>
          </w:p>
          <w:p w:rsidR="001261D1" w:rsidRPr="00751643" w:rsidRDefault="001261D1" w:rsidP="003751B0">
            <w:pPr>
              <w:rPr>
                <w:rFonts w:ascii="Arial" w:hAnsi="Arial" w:cs="Arial"/>
                <w:color w:val="000000" w:themeColor="text1"/>
              </w:rPr>
            </w:pPr>
            <w:r w:rsidRPr="00751643">
              <w:rPr>
                <w:rFonts w:ascii="Arial" w:hAnsi="Arial" w:cs="Arial"/>
                <w:color w:val="000000" w:themeColor="text1"/>
              </w:rPr>
              <w:t>Polityka wynagradzania</w:t>
            </w:r>
          </w:p>
        </w:tc>
        <w:tc>
          <w:tcPr>
            <w:tcW w:w="546" w:type="dxa"/>
          </w:tcPr>
          <w:p w:rsidR="001261D1" w:rsidRPr="00751643" w:rsidRDefault="00246261" w:rsidP="003751B0">
            <w:pPr>
              <w:rPr>
                <w:rFonts w:ascii="Arial" w:hAnsi="Arial" w:cs="Arial"/>
                <w:color w:val="000000" w:themeColor="text1"/>
              </w:rPr>
            </w:pPr>
            <w:r w:rsidRPr="00751643">
              <w:rPr>
                <w:rFonts w:ascii="Arial" w:hAnsi="Arial" w:cs="Arial"/>
                <w:color w:val="000000" w:themeColor="text1"/>
              </w:rPr>
              <w:t>9</w:t>
            </w:r>
          </w:p>
        </w:tc>
        <w:tc>
          <w:tcPr>
            <w:tcW w:w="1244" w:type="dxa"/>
          </w:tcPr>
          <w:p w:rsidR="001261D1" w:rsidRPr="00751643" w:rsidRDefault="001261D1" w:rsidP="003751B0">
            <w:pPr>
              <w:rPr>
                <w:rFonts w:ascii="Arial" w:hAnsi="Arial" w:cs="Arial"/>
                <w:color w:val="000000" w:themeColor="text1"/>
                <w:highlight w:val="yellow"/>
              </w:rPr>
            </w:pPr>
            <w:r w:rsidRPr="00751643">
              <w:rPr>
                <w:rFonts w:ascii="Arial" w:hAnsi="Arial" w:cs="Arial"/>
                <w:color w:val="000000" w:themeColor="text1"/>
                <w:shd w:val="clear" w:color="auto" w:fill="FFFFFF"/>
              </w:rPr>
              <w:t>§ 28</w:t>
            </w:r>
          </w:p>
        </w:tc>
        <w:tc>
          <w:tcPr>
            <w:tcW w:w="6359" w:type="dxa"/>
          </w:tcPr>
          <w:p w:rsidR="007047DA" w:rsidRPr="00751643" w:rsidRDefault="00872460" w:rsidP="003751B0">
            <w:pPr>
              <w:rPr>
                <w:rFonts w:ascii="Arial" w:hAnsi="Arial" w:cs="Arial"/>
                <w:color w:val="000000" w:themeColor="text1"/>
              </w:rPr>
            </w:pPr>
            <w:r w:rsidRPr="00751643">
              <w:rPr>
                <w:rFonts w:ascii="Arial" w:hAnsi="Arial" w:cs="Arial"/>
                <w:color w:val="000000" w:themeColor="text1"/>
              </w:rPr>
              <w:t xml:space="preserve">Zasada został zaimplementowana. </w:t>
            </w:r>
          </w:p>
          <w:p w:rsidR="00872460" w:rsidRPr="00751643" w:rsidRDefault="00872460" w:rsidP="003751B0">
            <w:pPr>
              <w:rPr>
                <w:rFonts w:ascii="Arial" w:hAnsi="Arial" w:cs="Arial"/>
                <w:color w:val="000000" w:themeColor="text1"/>
              </w:rPr>
            </w:pPr>
            <w:r w:rsidRPr="00751643">
              <w:rPr>
                <w:rFonts w:ascii="Arial" w:hAnsi="Arial" w:cs="Arial"/>
                <w:color w:val="000000" w:themeColor="text1"/>
              </w:rPr>
              <w:t xml:space="preserve">W Navigator obowiązuje dokument „Polityka wynagrodzeń w Domu Maklerskim Navigator S.A.” – w brzmieniu z listopada 2015 r. </w:t>
            </w:r>
          </w:p>
          <w:p w:rsidR="00872460" w:rsidRPr="00751643" w:rsidRDefault="00872460" w:rsidP="003751B0">
            <w:pPr>
              <w:rPr>
                <w:rFonts w:ascii="Arial" w:hAnsi="Arial" w:cs="Arial"/>
                <w:color w:val="000000" w:themeColor="text1"/>
              </w:rPr>
            </w:pPr>
            <w:r w:rsidRPr="00751643">
              <w:rPr>
                <w:rFonts w:ascii="Arial" w:hAnsi="Arial" w:cs="Arial"/>
                <w:color w:val="000000" w:themeColor="text1"/>
              </w:rPr>
              <w:t>Ww. polityka określa zasady</w:t>
            </w:r>
            <w:r w:rsidR="00E66225" w:rsidRPr="00751643">
              <w:rPr>
                <w:rFonts w:ascii="Arial" w:hAnsi="Arial" w:cs="Arial"/>
                <w:color w:val="000000" w:themeColor="text1"/>
              </w:rPr>
              <w:t xml:space="preserve"> ustalania przez Navigator składników wynagrodzeń dla poszczególnych kategorii osób, których działalność zawodowa ma istotny wpływ na profil ryzyka Navigator.</w:t>
            </w:r>
          </w:p>
          <w:p w:rsidR="00872460" w:rsidRPr="00751643" w:rsidRDefault="00E66225" w:rsidP="003751B0">
            <w:pPr>
              <w:rPr>
                <w:rFonts w:ascii="Arial" w:hAnsi="Arial" w:cs="Arial"/>
                <w:color w:val="000000" w:themeColor="text1"/>
              </w:rPr>
            </w:pPr>
            <w:r w:rsidRPr="00751643">
              <w:rPr>
                <w:rFonts w:ascii="Arial" w:hAnsi="Arial" w:cs="Arial"/>
                <w:color w:val="000000" w:themeColor="text1"/>
              </w:rPr>
              <w:t>Polityka jest udostępniona</w:t>
            </w:r>
            <w:r w:rsidR="00872460" w:rsidRPr="00751643">
              <w:rPr>
                <w:rFonts w:ascii="Arial" w:hAnsi="Arial" w:cs="Arial"/>
                <w:color w:val="000000" w:themeColor="text1"/>
              </w:rPr>
              <w:t xml:space="preserve"> na stronie internetowej Navigator w zakładce „Dokumenty”</w:t>
            </w:r>
            <w:r w:rsidRPr="00751643">
              <w:rPr>
                <w:rFonts w:ascii="Arial" w:hAnsi="Arial" w:cs="Arial"/>
                <w:color w:val="000000" w:themeColor="text1"/>
              </w:rPr>
              <w:t>.</w:t>
            </w:r>
          </w:p>
          <w:p w:rsidR="00A26D97" w:rsidRPr="00751643" w:rsidRDefault="00A26D97" w:rsidP="003751B0">
            <w:pPr>
              <w:rPr>
                <w:rFonts w:ascii="Arial" w:hAnsi="Arial" w:cs="Arial"/>
                <w:color w:val="000000" w:themeColor="text1"/>
                <w:shd w:val="clear" w:color="auto" w:fill="FFFFFF"/>
              </w:rPr>
            </w:pPr>
            <w:r w:rsidRPr="00E32EB7">
              <w:rPr>
                <w:rFonts w:ascii="Arial" w:hAnsi="Arial" w:cs="Arial"/>
                <w:color w:val="000000" w:themeColor="text1"/>
                <w:shd w:val="clear" w:color="auto" w:fill="FFFFFF"/>
              </w:rPr>
              <w:t>Zgodnie z § 28 ust. 3 Rada Nadzorcza przygotuje raport z oceny funkcjonowania polityki wynagrodzeń, który zostanie przedstawiony Walnemu Zgromadzeniu Navigator.</w:t>
            </w:r>
          </w:p>
          <w:p w:rsidR="007047DA" w:rsidRPr="00751643" w:rsidRDefault="00E66225" w:rsidP="003751B0">
            <w:pPr>
              <w:rPr>
                <w:rFonts w:ascii="Arial" w:hAnsi="Arial" w:cs="Arial"/>
                <w:color w:val="000000" w:themeColor="text1"/>
                <w:highlight w:val="yellow"/>
              </w:rPr>
            </w:pPr>
            <w:r w:rsidRPr="00751643">
              <w:rPr>
                <w:rFonts w:ascii="Arial" w:hAnsi="Arial" w:cs="Arial"/>
                <w:color w:val="000000" w:themeColor="text1"/>
              </w:rPr>
              <w:t xml:space="preserve">W Navigator nie funkcjonuje komitet do spraw wynagrodzeń. </w:t>
            </w:r>
          </w:p>
          <w:p w:rsidR="001261D1" w:rsidRPr="00751643" w:rsidRDefault="001261D1" w:rsidP="003751B0">
            <w:pPr>
              <w:rPr>
                <w:rFonts w:ascii="Arial" w:hAnsi="Arial" w:cs="Arial"/>
                <w:color w:val="000000" w:themeColor="text1"/>
                <w:highlight w:val="yellow"/>
              </w:rPr>
            </w:pPr>
          </w:p>
        </w:tc>
      </w:tr>
      <w:tr w:rsidR="001261D1" w:rsidRPr="00DB6589" w:rsidTr="00413C42">
        <w:tc>
          <w:tcPr>
            <w:tcW w:w="1697" w:type="dxa"/>
          </w:tcPr>
          <w:p w:rsidR="001261D1" w:rsidRPr="00751643" w:rsidRDefault="001261D1" w:rsidP="003751B0">
            <w:pPr>
              <w:rPr>
                <w:rFonts w:ascii="Arial" w:hAnsi="Arial" w:cs="Arial"/>
                <w:color w:val="000000" w:themeColor="text1"/>
              </w:rPr>
            </w:pPr>
          </w:p>
        </w:tc>
        <w:tc>
          <w:tcPr>
            <w:tcW w:w="546" w:type="dxa"/>
          </w:tcPr>
          <w:p w:rsidR="001261D1" w:rsidRPr="00751643" w:rsidRDefault="001261D1" w:rsidP="003751B0">
            <w:pPr>
              <w:rPr>
                <w:rFonts w:ascii="Arial" w:hAnsi="Arial" w:cs="Arial"/>
                <w:color w:val="000000" w:themeColor="text1"/>
              </w:rPr>
            </w:pPr>
            <w:r w:rsidRPr="00751643">
              <w:rPr>
                <w:rFonts w:ascii="Arial" w:hAnsi="Arial" w:cs="Arial"/>
                <w:color w:val="000000" w:themeColor="text1"/>
              </w:rPr>
              <w:t>1</w:t>
            </w:r>
            <w:r w:rsidR="00246261" w:rsidRPr="00751643">
              <w:rPr>
                <w:rFonts w:ascii="Arial" w:hAnsi="Arial" w:cs="Arial"/>
                <w:color w:val="000000" w:themeColor="text1"/>
              </w:rPr>
              <w:t>0</w:t>
            </w:r>
          </w:p>
        </w:tc>
        <w:tc>
          <w:tcPr>
            <w:tcW w:w="1244" w:type="dxa"/>
          </w:tcPr>
          <w:p w:rsidR="001261D1" w:rsidRPr="00751643" w:rsidRDefault="001261D1" w:rsidP="003751B0">
            <w:pPr>
              <w:rPr>
                <w:rFonts w:ascii="Arial" w:hAnsi="Arial" w:cs="Arial"/>
                <w:color w:val="000000" w:themeColor="text1"/>
              </w:rPr>
            </w:pPr>
            <w:r w:rsidRPr="00751643">
              <w:rPr>
                <w:rStyle w:val="apple-converted-space"/>
                <w:rFonts w:ascii="Arial" w:hAnsi="Arial" w:cs="Arial"/>
                <w:color w:val="000000" w:themeColor="text1"/>
                <w:shd w:val="clear" w:color="auto" w:fill="FFFFFF"/>
              </w:rPr>
              <w:t> </w:t>
            </w:r>
            <w:r w:rsidRPr="00751643">
              <w:rPr>
                <w:rFonts w:ascii="Arial" w:hAnsi="Arial" w:cs="Arial"/>
                <w:color w:val="000000" w:themeColor="text1"/>
                <w:shd w:val="clear" w:color="auto" w:fill="FFFFFF"/>
              </w:rPr>
              <w:t>§29</w:t>
            </w:r>
          </w:p>
        </w:tc>
        <w:tc>
          <w:tcPr>
            <w:tcW w:w="6359" w:type="dxa"/>
          </w:tcPr>
          <w:p w:rsidR="00CF71B6" w:rsidRPr="00751643" w:rsidRDefault="00E66225" w:rsidP="003751B0">
            <w:pPr>
              <w:rPr>
                <w:rFonts w:ascii="Arial" w:hAnsi="Arial" w:cs="Arial"/>
                <w:color w:val="000000" w:themeColor="text1"/>
              </w:rPr>
            </w:pPr>
            <w:r w:rsidRPr="00751643">
              <w:rPr>
                <w:rFonts w:ascii="Arial" w:hAnsi="Arial" w:cs="Arial"/>
                <w:color w:val="000000" w:themeColor="text1"/>
              </w:rPr>
              <w:t xml:space="preserve">Członkowie Rady Nadzorczej Navigator nie pobierają wynagrodzenia. </w:t>
            </w:r>
            <w:r w:rsidR="001261D1" w:rsidRPr="00751643">
              <w:rPr>
                <w:rFonts w:ascii="Arial" w:hAnsi="Arial" w:cs="Arial"/>
                <w:color w:val="000000" w:themeColor="text1"/>
              </w:rPr>
              <w:t xml:space="preserve"> </w:t>
            </w:r>
          </w:p>
          <w:p w:rsidR="00055288" w:rsidRPr="00751643" w:rsidRDefault="00055288" w:rsidP="003751B0">
            <w:pPr>
              <w:rPr>
                <w:rFonts w:ascii="Arial" w:hAnsi="Arial" w:cs="Arial"/>
                <w:color w:val="000000" w:themeColor="text1"/>
              </w:rPr>
            </w:pPr>
          </w:p>
        </w:tc>
      </w:tr>
      <w:tr w:rsidR="001261D1" w:rsidRPr="00DB6589" w:rsidTr="00413C42">
        <w:tc>
          <w:tcPr>
            <w:tcW w:w="1697" w:type="dxa"/>
          </w:tcPr>
          <w:p w:rsidR="001261D1" w:rsidRPr="00751643" w:rsidRDefault="001261D1" w:rsidP="003751B0">
            <w:pPr>
              <w:rPr>
                <w:rFonts w:ascii="Arial" w:hAnsi="Arial" w:cs="Arial"/>
                <w:color w:val="000000" w:themeColor="text1"/>
              </w:rPr>
            </w:pPr>
          </w:p>
        </w:tc>
        <w:tc>
          <w:tcPr>
            <w:tcW w:w="546" w:type="dxa"/>
          </w:tcPr>
          <w:p w:rsidR="001261D1" w:rsidRPr="00751643" w:rsidRDefault="001261D1" w:rsidP="003751B0">
            <w:pPr>
              <w:rPr>
                <w:rFonts w:ascii="Arial" w:hAnsi="Arial" w:cs="Arial"/>
                <w:color w:val="000000" w:themeColor="text1"/>
              </w:rPr>
            </w:pPr>
            <w:r w:rsidRPr="00751643">
              <w:rPr>
                <w:rFonts w:ascii="Arial" w:hAnsi="Arial" w:cs="Arial"/>
                <w:color w:val="000000" w:themeColor="text1"/>
              </w:rPr>
              <w:t>1</w:t>
            </w:r>
            <w:r w:rsidR="00246261" w:rsidRPr="00751643">
              <w:rPr>
                <w:rFonts w:ascii="Arial" w:hAnsi="Arial" w:cs="Arial"/>
                <w:color w:val="000000" w:themeColor="text1"/>
              </w:rPr>
              <w:t>1</w:t>
            </w:r>
          </w:p>
        </w:tc>
        <w:tc>
          <w:tcPr>
            <w:tcW w:w="1244" w:type="dxa"/>
          </w:tcPr>
          <w:p w:rsidR="001261D1" w:rsidRPr="00751643" w:rsidRDefault="001261D1" w:rsidP="003751B0">
            <w:pPr>
              <w:rPr>
                <w:rFonts w:ascii="Arial" w:hAnsi="Arial" w:cs="Arial"/>
                <w:color w:val="000000" w:themeColor="text1"/>
              </w:rPr>
            </w:pPr>
            <w:r w:rsidRPr="00751643">
              <w:rPr>
                <w:rStyle w:val="apple-converted-space"/>
                <w:rFonts w:ascii="Arial" w:hAnsi="Arial" w:cs="Arial"/>
                <w:color w:val="000000" w:themeColor="text1"/>
                <w:shd w:val="clear" w:color="auto" w:fill="FFFFFF"/>
              </w:rPr>
              <w:t> </w:t>
            </w:r>
            <w:r w:rsidRPr="00751643">
              <w:rPr>
                <w:rFonts w:ascii="Arial" w:hAnsi="Arial" w:cs="Arial"/>
                <w:color w:val="000000" w:themeColor="text1"/>
                <w:shd w:val="clear" w:color="auto" w:fill="FFFFFF"/>
              </w:rPr>
              <w:t>§30</w:t>
            </w:r>
          </w:p>
        </w:tc>
        <w:tc>
          <w:tcPr>
            <w:tcW w:w="6359" w:type="dxa"/>
          </w:tcPr>
          <w:p w:rsidR="00E66225" w:rsidRPr="00751643" w:rsidRDefault="00E66225" w:rsidP="003751B0">
            <w:pPr>
              <w:rPr>
                <w:rFonts w:ascii="Arial" w:hAnsi="Arial" w:cs="Arial"/>
                <w:color w:val="000000" w:themeColor="text1"/>
              </w:rPr>
            </w:pPr>
            <w:r w:rsidRPr="00751643">
              <w:rPr>
                <w:rFonts w:ascii="Arial" w:hAnsi="Arial" w:cs="Arial"/>
                <w:color w:val="000000" w:themeColor="text1"/>
              </w:rPr>
              <w:t>Zgodnie z dokumentem „Polityka wynagrodzeń w Domu Maklerskim Navigator S.A.”</w:t>
            </w:r>
            <w:r w:rsidR="00E91E38" w:rsidRPr="00751643">
              <w:rPr>
                <w:rFonts w:ascii="Arial" w:hAnsi="Arial" w:cs="Arial"/>
                <w:color w:val="000000" w:themeColor="text1"/>
              </w:rPr>
              <w:t xml:space="preserve"> w</w:t>
            </w:r>
            <w:r w:rsidRPr="00751643">
              <w:rPr>
                <w:rFonts w:ascii="Arial" w:hAnsi="Arial" w:cs="Arial"/>
                <w:color w:val="000000" w:themeColor="text1"/>
              </w:rPr>
              <w:t xml:space="preserve"> Navigator są stosowane wyłącznie stałe składniki wynagrodzeń.</w:t>
            </w:r>
          </w:p>
          <w:p w:rsidR="00E91E38" w:rsidRPr="00751643" w:rsidRDefault="00E91E38" w:rsidP="003751B0">
            <w:pPr>
              <w:rPr>
                <w:rFonts w:ascii="Arial" w:hAnsi="Arial" w:cs="Arial"/>
                <w:color w:val="000000" w:themeColor="text1"/>
              </w:rPr>
            </w:pPr>
            <w:r w:rsidRPr="00751643">
              <w:rPr>
                <w:rFonts w:ascii="Arial" w:hAnsi="Arial" w:cs="Arial"/>
                <w:color w:val="000000" w:themeColor="text1"/>
              </w:rPr>
              <w:t>Członkowie Zarządu Navigator pobierają wynagrodzenia.</w:t>
            </w:r>
          </w:p>
          <w:p w:rsidR="00E66225" w:rsidRPr="00751643" w:rsidRDefault="00E66225" w:rsidP="003751B0">
            <w:pPr>
              <w:rPr>
                <w:rFonts w:ascii="Arial" w:hAnsi="Arial" w:cs="Arial"/>
                <w:color w:val="000000" w:themeColor="text1"/>
              </w:rPr>
            </w:pPr>
            <w:r w:rsidRPr="00E32EB7">
              <w:rPr>
                <w:rFonts w:ascii="Arial" w:hAnsi="Arial" w:cs="Arial"/>
                <w:color w:val="000000" w:themeColor="text1"/>
              </w:rPr>
              <w:t>Zmienne składniki wynagrodzeń</w:t>
            </w:r>
            <w:r w:rsidR="00E91E38" w:rsidRPr="00E32EB7">
              <w:rPr>
                <w:rFonts w:ascii="Arial" w:hAnsi="Arial" w:cs="Arial"/>
                <w:color w:val="000000" w:themeColor="text1"/>
              </w:rPr>
              <w:t xml:space="preserve"> niepodlegające ww. polityce mogą mieć jedynie charakter wyjątkowy i mogą być przyznane jedynie w momencie nawiązania stosunku pracy i ograniczają się do pierwszego roku zatrudnienia.</w:t>
            </w:r>
            <w:r w:rsidRPr="00751643">
              <w:rPr>
                <w:rFonts w:ascii="Arial" w:hAnsi="Arial" w:cs="Arial"/>
                <w:color w:val="000000" w:themeColor="text1"/>
              </w:rPr>
              <w:t xml:space="preserve"> </w:t>
            </w:r>
          </w:p>
          <w:p w:rsidR="001261D1" w:rsidRPr="00751643" w:rsidRDefault="001261D1" w:rsidP="00413C42">
            <w:pPr>
              <w:rPr>
                <w:rFonts w:ascii="Arial" w:hAnsi="Arial" w:cs="Arial"/>
              </w:rPr>
            </w:pPr>
          </w:p>
        </w:tc>
      </w:tr>
      <w:tr w:rsidR="001261D1" w:rsidRPr="00DB6589" w:rsidTr="00413C42">
        <w:tc>
          <w:tcPr>
            <w:tcW w:w="1697" w:type="dxa"/>
          </w:tcPr>
          <w:p w:rsidR="001261D1" w:rsidRPr="00751643" w:rsidRDefault="001261D1" w:rsidP="003751B0">
            <w:pPr>
              <w:rPr>
                <w:rFonts w:ascii="Arial" w:hAnsi="Arial" w:cs="Arial"/>
                <w:color w:val="000000" w:themeColor="text1"/>
              </w:rPr>
            </w:pPr>
            <w:r w:rsidRPr="00751643">
              <w:rPr>
                <w:rFonts w:ascii="Arial" w:hAnsi="Arial" w:cs="Arial"/>
                <w:color w:val="000000" w:themeColor="text1"/>
              </w:rPr>
              <w:t xml:space="preserve">Rozdział </w:t>
            </w:r>
            <w:r w:rsidR="000C39E9" w:rsidRPr="00751643">
              <w:rPr>
                <w:rFonts w:ascii="Arial" w:hAnsi="Arial" w:cs="Arial"/>
                <w:color w:val="000000" w:themeColor="text1"/>
              </w:rPr>
              <w:t>6</w:t>
            </w:r>
          </w:p>
          <w:p w:rsidR="001261D1" w:rsidRPr="00751643" w:rsidRDefault="001261D1" w:rsidP="003751B0">
            <w:pPr>
              <w:rPr>
                <w:rFonts w:ascii="Arial" w:hAnsi="Arial" w:cs="Arial"/>
                <w:color w:val="000000" w:themeColor="text1"/>
              </w:rPr>
            </w:pPr>
            <w:r w:rsidRPr="00751643">
              <w:rPr>
                <w:rFonts w:ascii="Arial" w:hAnsi="Arial" w:cs="Arial"/>
                <w:color w:val="000000" w:themeColor="text1"/>
              </w:rPr>
              <w:lastRenderedPageBreak/>
              <w:t>Polityka informacyjna</w:t>
            </w:r>
          </w:p>
        </w:tc>
        <w:tc>
          <w:tcPr>
            <w:tcW w:w="546" w:type="dxa"/>
          </w:tcPr>
          <w:p w:rsidR="001261D1" w:rsidRPr="00751643" w:rsidRDefault="001261D1" w:rsidP="003751B0">
            <w:pPr>
              <w:rPr>
                <w:rFonts w:ascii="Arial" w:hAnsi="Arial" w:cs="Arial"/>
                <w:color w:val="000000" w:themeColor="text1"/>
              </w:rPr>
            </w:pPr>
            <w:r w:rsidRPr="00751643">
              <w:rPr>
                <w:rFonts w:ascii="Arial" w:hAnsi="Arial" w:cs="Arial"/>
                <w:color w:val="000000" w:themeColor="text1"/>
              </w:rPr>
              <w:lastRenderedPageBreak/>
              <w:t>1</w:t>
            </w:r>
            <w:r w:rsidR="00246261" w:rsidRPr="00751643">
              <w:rPr>
                <w:rFonts w:ascii="Arial" w:hAnsi="Arial" w:cs="Arial"/>
                <w:color w:val="000000" w:themeColor="text1"/>
              </w:rPr>
              <w:t>2</w:t>
            </w:r>
          </w:p>
        </w:tc>
        <w:tc>
          <w:tcPr>
            <w:tcW w:w="1244" w:type="dxa"/>
          </w:tcPr>
          <w:p w:rsidR="001261D1" w:rsidRPr="00751643" w:rsidRDefault="001261D1" w:rsidP="003751B0">
            <w:pPr>
              <w:rPr>
                <w:rFonts w:ascii="Arial" w:hAnsi="Arial" w:cs="Arial"/>
                <w:color w:val="000000" w:themeColor="text1"/>
              </w:rPr>
            </w:pPr>
            <w:r w:rsidRPr="00751643">
              <w:rPr>
                <w:rStyle w:val="apple-converted-space"/>
                <w:rFonts w:ascii="Arial" w:hAnsi="Arial" w:cs="Arial"/>
                <w:color w:val="000000" w:themeColor="text1"/>
                <w:shd w:val="clear" w:color="auto" w:fill="FFFFFF"/>
              </w:rPr>
              <w:t> </w:t>
            </w:r>
            <w:r w:rsidRPr="00751643">
              <w:rPr>
                <w:rFonts w:ascii="Arial" w:hAnsi="Arial" w:cs="Arial"/>
                <w:color w:val="000000" w:themeColor="text1"/>
                <w:shd w:val="clear" w:color="auto" w:fill="FFFFFF"/>
              </w:rPr>
              <w:t>§31</w:t>
            </w:r>
          </w:p>
        </w:tc>
        <w:tc>
          <w:tcPr>
            <w:tcW w:w="6359" w:type="dxa"/>
          </w:tcPr>
          <w:p w:rsidR="0028612B" w:rsidRPr="00751643" w:rsidRDefault="0028612B" w:rsidP="0028612B">
            <w:pPr>
              <w:rPr>
                <w:rFonts w:ascii="Arial" w:hAnsi="Arial" w:cs="Arial"/>
                <w:color w:val="000000" w:themeColor="text1"/>
                <w:highlight w:val="yellow"/>
              </w:rPr>
            </w:pPr>
            <w:r w:rsidRPr="00751643">
              <w:rPr>
                <w:rFonts w:ascii="Arial" w:hAnsi="Arial" w:cs="Arial"/>
                <w:color w:val="000000" w:themeColor="text1"/>
              </w:rPr>
              <w:t xml:space="preserve">Polityka jest udostępniona na stronie internetowej Navigator w zakładce „Dokumenty”. W zakładce tej znajdują się również i </w:t>
            </w:r>
            <w:r w:rsidRPr="00751643">
              <w:rPr>
                <w:rFonts w:ascii="Arial" w:hAnsi="Arial" w:cs="Arial"/>
                <w:color w:val="000000" w:themeColor="text1"/>
              </w:rPr>
              <w:lastRenderedPageBreak/>
              <w:t>inne dokumenty, w tym roczne sprawozdania finansowe Navigator.</w:t>
            </w:r>
          </w:p>
          <w:p w:rsidR="001261D1" w:rsidRPr="00751643" w:rsidRDefault="00C035AC" w:rsidP="003751B0">
            <w:pPr>
              <w:rPr>
                <w:rFonts w:ascii="Arial" w:hAnsi="Arial" w:cs="Arial"/>
                <w:color w:val="000000" w:themeColor="text1"/>
              </w:rPr>
            </w:pPr>
            <w:r w:rsidRPr="00751643">
              <w:rPr>
                <w:rFonts w:ascii="Arial" w:hAnsi="Arial" w:cs="Arial"/>
                <w:color w:val="000000" w:themeColor="text1"/>
              </w:rPr>
              <w:t>W przypadku pytań, wątpliwości czy też ewentualnych reklamacji związanych ze świadczonymi przez Navigator usługami z</w:t>
            </w:r>
            <w:r w:rsidR="001261D1" w:rsidRPr="00751643">
              <w:rPr>
                <w:rFonts w:ascii="Arial" w:hAnsi="Arial" w:cs="Arial"/>
                <w:color w:val="000000" w:themeColor="text1"/>
              </w:rPr>
              <w:t xml:space="preserve">arówno klienci, jak i akcjonariusze mogą kontaktować się z </w:t>
            </w:r>
            <w:r w:rsidRPr="00751643">
              <w:rPr>
                <w:rFonts w:ascii="Arial" w:hAnsi="Arial" w:cs="Arial"/>
                <w:color w:val="000000" w:themeColor="text1"/>
              </w:rPr>
              <w:t>Navigator</w:t>
            </w:r>
            <w:r w:rsidR="001261D1" w:rsidRPr="00751643">
              <w:rPr>
                <w:rFonts w:ascii="Arial" w:hAnsi="Arial" w:cs="Arial"/>
                <w:color w:val="000000" w:themeColor="text1"/>
              </w:rPr>
              <w:t xml:space="preserve"> za pośrednictwem poczty elektroniczne</w:t>
            </w:r>
            <w:r w:rsidR="0028612B" w:rsidRPr="00751643">
              <w:rPr>
                <w:rFonts w:ascii="Arial" w:hAnsi="Arial" w:cs="Arial"/>
                <w:color w:val="000000" w:themeColor="text1"/>
              </w:rPr>
              <w:t>j</w:t>
            </w:r>
            <w:r w:rsidR="001261D1" w:rsidRPr="00751643">
              <w:rPr>
                <w:rFonts w:ascii="Arial" w:hAnsi="Arial" w:cs="Arial"/>
                <w:color w:val="000000" w:themeColor="text1"/>
              </w:rPr>
              <w:t xml:space="preserve">, jak listownie zgodnie z danymi teleadresowymi zamieszczonymi </w:t>
            </w:r>
            <w:r w:rsidRPr="00751643">
              <w:rPr>
                <w:rFonts w:ascii="Arial" w:hAnsi="Arial" w:cs="Arial"/>
                <w:color w:val="000000" w:themeColor="text1"/>
              </w:rPr>
              <w:t xml:space="preserve">na </w:t>
            </w:r>
            <w:r w:rsidR="001261D1" w:rsidRPr="00751643">
              <w:rPr>
                <w:rFonts w:ascii="Arial" w:hAnsi="Arial" w:cs="Arial"/>
                <w:color w:val="000000" w:themeColor="text1"/>
              </w:rPr>
              <w:t>stron</w:t>
            </w:r>
            <w:r w:rsidRPr="00751643">
              <w:rPr>
                <w:rFonts w:ascii="Arial" w:hAnsi="Arial" w:cs="Arial"/>
                <w:color w:val="000000" w:themeColor="text1"/>
              </w:rPr>
              <w:t>ie</w:t>
            </w:r>
            <w:r w:rsidR="001261D1" w:rsidRPr="00751643">
              <w:rPr>
                <w:rFonts w:ascii="Arial" w:hAnsi="Arial" w:cs="Arial"/>
                <w:color w:val="000000" w:themeColor="text1"/>
              </w:rPr>
              <w:t xml:space="preserve"> internetowej </w:t>
            </w:r>
            <w:r w:rsidRPr="00751643">
              <w:rPr>
                <w:rFonts w:ascii="Arial" w:hAnsi="Arial" w:cs="Arial"/>
                <w:color w:val="000000" w:themeColor="text1"/>
              </w:rPr>
              <w:t>Navigator</w:t>
            </w:r>
            <w:r w:rsidR="001261D1" w:rsidRPr="00751643">
              <w:rPr>
                <w:rFonts w:ascii="Arial" w:hAnsi="Arial" w:cs="Arial"/>
                <w:color w:val="000000" w:themeColor="text1"/>
              </w:rPr>
              <w:t>.</w:t>
            </w:r>
          </w:p>
          <w:p w:rsidR="001261D1" w:rsidRPr="00751643" w:rsidRDefault="001261D1" w:rsidP="00413C42">
            <w:pPr>
              <w:rPr>
                <w:rFonts w:ascii="Arial" w:hAnsi="Arial" w:cs="Arial"/>
                <w:color w:val="000000" w:themeColor="text1"/>
              </w:rPr>
            </w:pPr>
            <w:r w:rsidRPr="00751643">
              <w:rPr>
                <w:rFonts w:ascii="Arial" w:hAnsi="Arial" w:cs="Arial"/>
                <w:color w:val="000000" w:themeColor="text1"/>
              </w:rPr>
              <w:t xml:space="preserve"> </w:t>
            </w:r>
          </w:p>
        </w:tc>
      </w:tr>
      <w:tr w:rsidR="001261D1" w:rsidRPr="00DB6589" w:rsidTr="00413C42">
        <w:tc>
          <w:tcPr>
            <w:tcW w:w="1697" w:type="dxa"/>
          </w:tcPr>
          <w:p w:rsidR="00246261" w:rsidRPr="00751643" w:rsidRDefault="00246261" w:rsidP="00246261">
            <w:pPr>
              <w:rPr>
                <w:rFonts w:ascii="Arial" w:hAnsi="Arial" w:cs="Arial"/>
                <w:color w:val="000000" w:themeColor="text1"/>
              </w:rPr>
            </w:pPr>
            <w:r w:rsidRPr="00751643">
              <w:rPr>
                <w:rFonts w:ascii="Arial" w:hAnsi="Arial" w:cs="Arial"/>
                <w:color w:val="000000" w:themeColor="text1"/>
              </w:rPr>
              <w:lastRenderedPageBreak/>
              <w:t xml:space="preserve">Rozdział </w:t>
            </w:r>
            <w:r w:rsidR="000C39E9" w:rsidRPr="00751643">
              <w:rPr>
                <w:rFonts w:ascii="Arial" w:hAnsi="Arial" w:cs="Arial"/>
                <w:color w:val="000000" w:themeColor="text1"/>
              </w:rPr>
              <w:t>8</w:t>
            </w:r>
          </w:p>
          <w:p w:rsidR="001261D1" w:rsidRPr="00751643" w:rsidRDefault="00246261" w:rsidP="00246261">
            <w:pPr>
              <w:rPr>
                <w:rFonts w:ascii="Arial" w:hAnsi="Arial" w:cs="Arial"/>
                <w:color w:val="000000" w:themeColor="text1"/>
              </w:rPr>
            </w:pPr>
            <w:r w:rsidRPr="00751643">
              <w:rPr>
                <w:rFonts w:ascii="Arial" w:hAnsi="Arial" w:cs="Arial"/>
                <w:color w:val="000000" w:themeColor="text1"/>
              </w:rPr>
              <w:t>Kluczowe systemy i funkcje wewnętrzne</w:t>
            </w:r>
          </w:p>
        </w:tc>
        <w:tc>
          <w:tcPr>
            <w:tcW w:w="546" w:type="dxa"/>
          </w:tcPr>
          <w:p w:rsidR="001261D1" w:rsidRPr="00751643" w:rsidRDefault="001261D1" w:rsidP="003751B0">
            <w:pPr>
              <w:rPr>
                <w:rFonts w:ascii="Arial" w:hAnsi="Arial" w:cs="Arial"/>
                <w:color w:val="000000" w:themeColor="text1"/>
              </w:rPr>
            </w:pPr>
            <w:r w:rsidRPr="00751643">
              <w:rPr>
                <w:rFonts w:ascii="Arial" w:hAnsi="Arial" w:cs="Arial"/>
                <w:color w:val="000000" w:themeColor="text1"/>
              </w:rPr>
              <w:t>1</w:t>
            </w:r>
            <w:r w:rsidR="00246261" w:rsidRPr="00751643">
              <w:rPr>
                <w:rFonts w:ascii="Arial" w:hAnsi="Arial" w:cs="Arial"/>
                <w:color w:val="000000" w:themeColor="text1"/>
              </w:rPr>
              <w:t>3</w:t>
            </w:r>
          </w:p>
        </w:tc>
        <w:tc>
          <w:tcPr>
            <w:tcW w:w="1244" w:type="dxa"/>
          </w:tcPr>
          <w:p w:rsidR="001261D1" w:rsidRPr="00751643" w:rsidRDefault="001261D1" w:rsidP="003751B0">
            <w:pPr>
              <w:rPr>
                <w:rFonts w:ascii="Arial" w:hAnsi="Arial" w:cs="Arial"/>
                <w:color w:val="000000" w:themeColor="text1"/>
              </w:rPr>
            </w:pPr>
            <w:r w:rsidRPr="00751643">
              <w:rPr>
                <w:rStyle w:val="apple-converted-space"/>
                <w:rFonts w:ascii="Arial" w:hAnsi="Arial" w:cs="Arial"/>
                <w:color w:val="000000" w:themeColor="text1"/>
                <w:shd w:val="clear" w:color="auto" w:fill="FFFFFF"/>
              </w:rPr>
              <w:t> </w:t>
            </w:r>
            <w:r w:rsidRPr="00751643">
              <w:rPr>
                <w:rFonts w:ascii="Arial" w:hAnsi="Arial" w:cs="Arial"/>
                <w:color w:val="000000" w:themeColor="text1"/>
                <w:shd w:val="clear" w:color="auto" w:fill="FFFFFF"/>
              </w:rPr>
              <w:t>§48</w:t>
            </w:r>
          </w:p>
        </w:tc>
        <w:tc>
          <w:tcPr>
            <w:tcW w:w="6359" w:type="dxa"/>
          </w:tcPr>
          <w:p w:rsidR="00246261" w:rsidRPr="00751643" w:rsidRDefault="001261D1" w:rsidP="003751B0">
            <w:pPr>
              <w:rPr>
                <w:rFonts w:ascii="Arial" w:hAnsi="Arial" w:cs="Arial"/>
                <w:color w:val="000000" w:themeColor="text1"/>
              </w:rPr>
            </w:pPr>
            <w:r w:rsidRPr="00751643">
              <w:rPr>
                <w:rFonts w:ascii="Arial" w:hAnsi="Arial" w:cs="Arial"/>
                <w:color w:val="000000" w:themeColor="text1"/>
              </w:rPr>
              <w:t xml:space="preserve">Zasada </w:t>
            </w:r>
            <w:r w:rsidR="00246261" w:rsidRPr="00751643">
              <w:rPr>
                <w:rFonts w:ascii="Arial" w:hAnsi="Arial" w:cs="Arial"/>
                <w:color w:val="000000" w:themeColor="text1"/>
              </w:rPr>
              <w:t xml:space="preserve">została </w:t>
            </w:r>
            <w:r w:rsidRPr="00751643">
              <w:rPr>
                <w:rFonts w:ascii="Arial" w:hAnsi="Arial" w:cs="Arial"/>
                <w:color w:val="000000" w:themeColor="text1"/>
              </w:rPr>
              <w:t>zaimplementowana</w:t>
            </w:r>
            <w:r w:rsidR="00246261" w:rsidRPr="00751643">
              <w:rPr>
                <w:rFonts w:ascii="Arial" w:hAnsi="Arial" w:cs="Arial"/>
                <w:color w:val="000000" w:themeColor="text1"/>
              </w:rPr>
              <w:t>.</w:t>
            </w:r>
          </w:p>
          <w:p w:rsidR="001261D1" w:rsidRPr="00751643" w:rsidRDefault="00246261" w:rsidP="00413C42">
            <w:pPr>
              <w:rPr>
                <w:rFonts w:ascii="Arial" w:hAnsi="Arial" w:cs="Arial"/>
                <w:color w:val="000000" w:themeColor="text1"/>
              </w:rPr>
            </w:pPr>
            <w:r w:rsidRPr="00751643">
              <w:rPr>
                <w:rFonts w:ascii="Arial" w:hAnsi="Arial" w:cs="Arial"/>
                <w:color w:val="000000" w:themeColor="text1"/>
              </w:rPr>
              <w:t>W Navigator funkcjonuje Audytor Wewnętrzny.</w:t>
            </w:r>
            <w:r w:rsidR="001261D1" w:rsidRPr="00751643">
              <w:rPr>
                <w:rFonts w:ascii="Arial" w:hAnsi="Arial" w:cs="Arial"/>
                <w:color w:val="000000" w:themeColor="text1"/>
              </w:rPr>
              <w:t xml:space="preserve"> </w:t>
            </w:r>
          </w:p>
        </w:tc>
      </w:tr>
    </w:tbl>
    <w:p w:rsidR="001261D1" w:rsidRDefault="001261D1" w:rsidP="00413C42">
      <w:pPr>
        <w:keepNext/>
        <w:keepLines/>
        <w:spacing w:after="0" w:line="360" w:lineRule="auto"/>
        <w:jc w:val="both"/>
        <w:rPr>
          <w:rFonts w:ascii="Arial" w:hAnsi="Arial" w:cs="Arial"/>
          <w:color w:val="000000"/>
        </w:rPr>
      </w:pPr>
    </w:p>
    <w:p w:rsidR="00294C18" w:rsidRDefault="00294C18" w:rsidP="00413C42">
      <w:pPr>
        <w:keepNext/>
        <w:keepLines/>
        <w:spacing w:after="0" w:line="360" w:lineRule="auto"/>
        <w:jc w:val="both"/>
        <w:rPr>
          <w:rFonts w:ascii="Arial" w:hAnsi="Arial" w:cs="Arial"/>
          <w:color w:val="000000"/>
        </w:rPr>
      </w:pPr>
    </w:p>
    <w:p w:rsidR="00294C18" w:rsidRDefault="006B064A" w:rsidP="00413C42">
      <w:pPr>
        <w:pStyle w:val="Akapitzlist"/>
        <w:keepNext/>
        <w:keepLines/>
        <w:numPr>
          <w:ilvl w:val="0"/>
          <w:numId w:val="20"/>
        </w:numPr>
        <w:spacing w:after="0" w:line="360" w:lineRule="auto"/>
        <w:jc w:val="both"/>
        <w:rPr>
          <w:rFonts w:ascii="Arial" w:hAnsi="Arial" w:cs="Arial"/>
          <w:b/>
          <w:color w:val="000000"/>
        </w:rPr>
      </w:pPr>
      <w:r>
        <w:rPr>
          <w:rFonts w:ascii="Arial" w:hAnsi="Arial" w:cs="Arial"/>
          <w:b/>
          <w:color w:val="000000"/>
        </w:rPr>
        <w:t>Zdarzenia dotyczące stosowania Zasad, które miały miejsce po zakończeniu ocenianego okresu do dnia sporządzenia niniejszej Oceny</w:t>
      </w:r>
    </w:p>
    <w:p w:rsidR="006B064A" w:rsidRDefault="006B064A" w:rsidP="00413C42">
      <w:pPr>
        <w:pStyle w:val="Akapitzlist"/>
        <w:keepNext/>
        <w:keepLines/>
        <w:spacing w:after="0" w:line="360" w:lineRule="auto"/>
        <w:jc w:val="both"/>
        <w:rPr>
          <w:rFonts w:ascii="Arial" w:hAnsi="Arial" w:cs="Arial"/>
          <w:b/>
          <w:color w:val="000000"/>
        </w:rPr>
      </w:pPr>
    </w:p>
    <w:p w:rsidR="006B064A" w:rsidRDefault="001A0895" w:rsidP="00413C42">
      <w:pPr>
        <w:keepNext/>
        <w:keepLines/>
        <w:spacing w:after="0" w:line="360" w:lineRule="auto"/>
        <w:jc w:val="both"/>
        <w:rPr>
          <w:rFonts w:ascii="Arial" w:hAnsi="Arial" w:cs="Arial"/>
          <w:color w:val="000000"/>
        </w:rPr>
      </w:pPr>
      <w:r>
        <w:rPr>
          <w:rFonts w:ascii="Arial" w:hAnsi="Arial" w:cs="Arial"/>
          <w:color w:val="000000"/>
        </w:rPr>
        <w:t xml:space="preserve">Po zakończeniu ocenianego okresu do dnia sporządzenia niniejszej Oceny nie wystąpiły zdarzenia </w:t>
      </w:r>
      <w:r w:rsidR="006B064A">
        <w:rPr>
          <w:rFonts w:ascii="Arial" w:hAnsi="Arial" w:cs="Arial"/>
          <w:color w:val="000000"/>
        </w:rPr>
        <w:t>rozszerzenia stosowania Zasad</w:t>
      </w:r>
      <w:r>
        <w:rPr>
          <w:rFonts w:ascii="Arial" w:hAnsi="Arial" w:cs="Arial"/>
          <w:color w:val="000000"/>
        </w:rPr>
        <w:t>, a</w:t>
      </w:r>
      <w:r w:rsidR="006B064A">
        <w:rPr>
          <w:rFonts w:ascii="Arial" w:hAnsi="Arial" w:cs="Arial"/>
          <w:color w:val="000000"/>
        </w:rPr>
        <w:t xml:space="preserve"> przesłanki do utrzymania wyłączenia ze stosowania pozostałych Zasad, o których mowa w pkt 1 pozostają nadal aktualne. </w:t>
      </w:r>
    </w:p>
    <w:p w:rsidR="00F319F6" w:rsidRDefault="00F319F6" w:rsidP="00413C42">
      <w:pPr>
        <w:keepNext/>
        <w:keepLines/>
        <w:spacing w:after="0" w:line="360" w:lineRule="auto"/>
        <w:jc w:val="both"/>
        <w:rPr>
          <w:rFonts w:ascii="Arial" w:hAnsi="Arial" w:cs="Arial"/>
          <w:color w:val="000000"/>
        </w:rPr>
      </w:pPr>
      <w:r>
        <w:rPr>
          <w:rFonts w:ascii="Arial" w:hAnsi="Arial" w:cs="Arial"/>
          <w:color w:val="000000"/>
        </w:rPr>
        <w:t>W okres</w:t>
      </w:r>
      <w:r w:rsidR="00241E5B">
        <w:rPr>
          <w:rFonts w:ascii="Arial" w:hAnsi="Arial" w:cs="Arial"/>
          <w:color w:val="000000"/>
        </w:rPr>
        <w:t>ie 1 stycznia 2016 r. do dnia 28</w:t>
      </w:r>
      <w:r>
        <w:rPr>
          <w:rFonts w:ascii="Arial" w:hAnsi="Arial" w:cs="Arial"/>
          <w:color w:val="000000"/>
        </w:rPr>
        <w:t xml:space="preserve"> lipca 2016 r. występowały jednak działania dostosowawcze do stosowania zadeklarowanych Zasad, co zostało odpowiednio wskazane w tabeli przedstawionej w pkt 3 powyżej.</w:t>
      </w:r>
    </w:p>
    <w:p w:rsidR="00DF34C3" w:rsidRPr="00413C42" w:rsidRDefault="00DF34C3" w:rsidP="00413C42">
      <w:pPr>
        <w:keepNext/>
        <w:keepLines/>
        <w:spacing w:after="0" w:line="360" w:lineRule="auto"/>
        <w:jc w:val="both"/>
        <w:rPr>
          <w:rFonts w:ascii="Arial" w:hAnsi="Arial" w:cs="Arial"/>
          <w:color w:val="000000"/>
        </w:rPr>
      </w:pPr>
    </w:p>
    <w:sectPr w:rsidR="00DF34C3" w:rsidRPr="00413C42" w:rsidSect="007E07FB">
      <w:footerReference w:type="default" r:id="rId8"/>
      <w:pgSz w:w="11906" w:h="16838"/>
      <w:pgMar w:top="1560" w:right="1417" w:bottom="1417"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770" w:rsidRDefault="00DF0770" w:rsidP="00B75146">
      <w:pPr>
        <w:spacing w:after="0" w:line="240" w:lineRule="auto"/>
      </w:pPr>
      <w:r>
        <w:separator/>
      </w:r>
    </w:p>
  </w:endnote>
  <w:endnote w:type="continuationSeparator" w:id="0">
    <w:p w:rsidR="00DF0770" w:rsidRDefault="00DF0770" w:rsidP="00B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138871"/>
      <w:docPartObj>
        <w:docPartGallery w:val="Page Numbers (Bottom of Page)"/>
        <w:docPartUnique/>
      </w:docPartObj>
    </w:sdtPr>
    <w:sdtEndPr/>
    <w:sdtContent>
      <w:p w:rsidR="00D2450B" w:rsidRDefault="00D2450B">
        <w:pPr>
          <w:pStyle w:val="Stopka"/>
          <w:jc w:val="right"/>
        </w:pPr>
        <w:r>
          <w:fldChar w:fldCharType="begin"/>
        </w:r>
        <w:r>
          <w:instrText>PAGE   \* MERGEFORMAT</w:instrText>
        </w:r>
        <w:r>
          <w:fldChar w:fldCharType="separate"/>
        </w:r>
        <w:r w:rsidR="000158ED">
          <w:rPr>
            <w:noProof/>
          </w:rPr>
          <w:t>- 2 -</w:t>
        </w:r>
        <w:r>
          <w:fldChar w:fldCharType="end"/>
        </w:r>
      </w:p>
    </w:sdtContent>
  </w:sdt>
  <w:p w:rsidR="00D2450B" w:rsidRDefault="00D2450B" w:rsidP="00E023BA">
    <w:pPr>
      <w:pStyle w:val="Stopka"/>
      <w:tabs>
        <w:tab w:val="clear" w:pos="4536"/>
        <w:tab w:val="clear" w:pos="9072"/>
        <w:tab w:val="left" w:pos="3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770" w:rsidRDefault="00DF0770" w:rsidP="00B75146">
      <w:pPr>
        <w:spacing w:after="0" w:line="240" w:lineRule="auto"/>
      </w:pPr>
      <w:r>
        <w:separator/>
      </w:r>
    </w:p>
  </w:footnote>
  <w:footnote w:type="continuationSeparator" w:id="0">
    <w:p w:rsidR="00DF0770" w:rsidRDefault="00DF0770" w:rsidP="00B75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A51"/>
    <w:multiLevelType w:val="hybridMultilevel"/>
    <w:tmpl w:val="76EA55A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7393380"/>
    <w:multiLevelType w:val="hybridMultilevel"/>
    <w:tmpl w:val="3E825C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A59E0"/>
    <w:multiLevelType w:val="hybridMultilevel"/>
    <w:tmpl w:val="FD788C80"/>
    <w:lvl w:ilvl="0" w:tplc="0656516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42D2B17"/>
    <w:multiLevelType w:val="hybridMultilevel"/>
    <w:tmpl w:val="632E40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76040"/>
    <w:multiLevelType w:val="hybridMultilevel"/>
    <w:tmpl w:val="E8405A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695AB2"/>
    <w:multiLevelType w:val="hybridMultilevel"/>
    <w:tmpl w:val="A65A3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D942DC"/>
    <w:multiLevelType w:val="hybridMultilevel"/>
    <w:tmpl w:val="597659CA"/>
    <w:lvl w:ilvl="0" w:tplc="0B82D166">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8D4A34"/>
    <w:multiLevelType w:val="hybridMultilevel"/>
    <w:tmpl w:val="228492D0"/>
    <w:lvl w:ilvl="0" w:tplc="9B2A104E">
      <w:start w:val="1"/>
      <w:numFmt w:val="decimal"/>
      <w:lvlText w:val="%1."/>
      <w:lvlJc w:val="left"/>
      <w:pPr>
        <w:ind w:left="720" w:hanging="360"/>
      </w:pPr>
      <w:rPr>
        <w:rFonts w:hint="default"/>
        <w:b/>
        <w:i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027D0"/>
    <w:multiLevelType w:val="hybridMultilevel"/>
    <w:tmpl w:val="62CC9642"/>
    <w:lvl w:ilvl="0" w:tplc="623029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EEC099B"/>
    <w:multiLevelType w:val="hybridMultilevel"/>
    <w:tmpl w:val="EBFCD014"/>
    <w:lvl w:ilvl="0" w:tplc="323A3F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F02546F"/>
    <w:multiLevelType w:val="hybridMultilevel"/>
    <w:tmpl w:val="7270A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41D27"/>
    <w:multiLevelType w:val="hybridMultilevel"/>
    <w:tmpl w:val="1AAA5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0E29E7"/>
    <w:multiLevelType w:val="hybridMultilevel"/>
    <w:tmpl w:val="B4548A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A04CDF"/>
    <w:multiLevelType w:val="hybridMultilevel"/>
    <w:tmpl w:val="8BFEF2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1F0CC4"/>
    <w:multiLevelType w:val="hybridMultilevel"/>
    <w:tmpl w:val="3702DA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E1024E"/>
    <w:multiLevelType w:val="hybridMultilevel"/>
    <w:tmpl w:val="A282C4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EE489D"/>
    <w:multiLevelType w:val="hybridMultilevel"/>
    <w:tmpl w:val="39F6FA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E0511C"/>
    <w:multiLevelType w:val="hybridMultilevel"/>
    <w:tmpl w:val="91CCD06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E40254"/>
    <w:multiLevelType w:val="hybridMultilevel"/>
    <w:tmpl w:val="12408416"/>
    <w:lvl w:ilvl="0" w:tplc="7BD2AAE2">
      <w:start w:val="1"/>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9" w15:restartNumberingAfterBreak="0">
    <w:nsid w:val="5A571253"/>
    <w:multiLevelType w:val="hybridMultilevel"/>
    <w:tmpl w:val="2D1034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6D6DBA"/>
    <w:multiLevelType w:val="hybridMultilevel"/>
    <w:tmpl w:val="2B08453E"/>
    <w:lvl w:ilvl="0" w:tplc="D97C1B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E593D6C"/>
    <w:multiLevelType w:val="hybridMultilevel"/>
    <w:tmpl w:val="A3187B90"/>
    <w:lvl w:ilvl="0" w:tplc="BB1EED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865BA7"/>
    <w:multiLevelType w:val="hybridMultilevel"/>
    <w:tmpl w:val="F1E8EAD2"/>
    <w:lvl w:ilvl="0" w:tplc="ABFC4E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6696425B"/>
    <w:multiLevelType w:val="hybridMultilevel"/>
    <w:tmpl w:val="17E29D5E"/>
    <w:lvl w:ilvl="0" w:tplc="97F8715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A81A8E"/>
    <w:multiLevelType w:val="hybridMultilevel"/>
    <w:tmpl w:val="EB526F18"/>
    <w:lvl w:ilvl="0" w:tplc="89982A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7A09A0"/>
    <w:multiLevelType w:val="hybridMultilevel"/>
    <w:tmpl w:val="E020D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212C60"/>
    <w:multiLevelType w:val="hybridMultilevel"/>
    <w:tmpl w:val="28BE7322"/>
    <w:lvl w:ilvl="0" w:tplc="6FB604D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72F45104"/>
    <w:multiLevelType w:val="hybridMultilevel"/>
    <w:tmpl w:val="853CD744"/>
    <w:lvl w:ilvl="0" w:tplc="1A9658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7C260F79"/>
    <w:multiLevelType w:val="hybridMultilevel"/>
    <w:tmpl w:val="17E29D5E"/>
    <w:lvl w:ilvl="0" w:tplc="97F8715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2F1823"/>
    <w:multiLevelType w:val="hybridMultilevel"/>
    <w:tmpl w:val="22D82E46"/>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29"/>
  </w:num>
  <w:num w:numId="2">
    <w:abstractNumId w:val="22"/>
  </w:num>
  <w:num w:numId="3">
    <w:abstractNumId w:val="7"/>
  </w:num>
  <w:num w:numId="4">
    <w:abstractNumId w:val="18"/>
  </w:num>
  <w:num w:numId="5">
    <w:abstractNumId w:val="28"/>
  </w:num>
  <w:num w:numId="6">
    <w:abstractNumId w:val="23"/>
  </w:num>
  <w:num w:numId="7">
    <w:abstractNumId w:val="27"/>
  </w:num>
  <w:num w:numId="8">
    <w:abstractNumId w:val="9"/>
  </w:num>
  <w:num w:numId="9">
    <w:abstractNumId w:val="26"/>
  </w:num>
  <w:num w:numId="10">
    <w:abstractNumId w:val="2"/>
  </w:num>
  <w:num w:numId="11">
    <w:abstractNumId w:val="14"/>
  </w:num>
  <w:num w:numId="12">
    <w:abstractNumId w:val="8"/>
  </w:num>
  <w:num w:numId="13">
    <w:abstractNumId w:val="20"/>
  </w:num>
  <w:num w:numId="14">
    <w:abstractNumId w:val="24"/>
  </w:num>
  <w:num w:numId="15">
    <w:abstractNumId w:val="0"/>
  </w:num>
  <w:num w:numId="16">
    <w:abstractNumId w:val="17"/>
  </w:num>
  <w:num w:numId="17">
    <w:abstractNumId w:val="6"/>
  </w:num>
  <w:num w:numId="18">
    <w:abstractNumId w:val="15"/>
  </w:num>
  <w:num w:numId="19">
    <w:abstractNumId w:val="4"/>
  </w:num>
  <w:num w:numId="20">
    <w:abstractNumId w:val="21"/>
  </w:num>
  <w:num w:numId="21">
    <w:abstractNumId w:val="13"/>
  </w:num>
  <w:num w:numId="22">
    <w:abstractNumId w:val="10"/>
  </w:num>
  <w:num w:numId="23">
    <w:abstractNumId w:val="12"/>
  </w:num>
  <w:num w:numId="24">
    <w:abstractNumId w:val="5"/>
  </w:num>
  <w:num w:numId="25">
    <w:abstractNumId w:val="25"/>
  </w:num>
  <w:num w:numId="26">
    <w:abstractNumId w:val="3"/>
  </w:num>
  <w:num w:numId="27">
    <w:abstractNumId w:val="19"/>
  </w:num>
  <w:num w:numId="28">
    <w:abstractNumId w:val="1"/>
  </w:num>
  <w:num w:numId="29">
    <w:abstractNumId w:val="16"/>
  </w:num>
  <w:num w:numId="3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l-PL" w:vendorID="12" w:dllVersion="512"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46"/>
    <w:rsid w:val="0000256B"/>
    <w:rsid w:val="00002B81"/>
    <w:rsid w:val="00002E73"/>
    <w:rsid w:val="0000376A"/>
    <w:rsid w:val="00003CA3"/>
    <w:rsid w:val="00006721"/>
    <w:rsid w:val="00011493"/>
    <w:rsid w:val="00011DFF"/>
    <w:rsid w:val="00011EA4"/>
    <w:rsid w:val="00014905"/>
    <w:rsid w:val="000158ED"/>
    <w:rsid w:val="00020D60"/>
    <w:rsid w:val="00020E84"/>
    <w:rsid w:val="0002132D"/>
    <w:rsid w:val="00022E62"/>
    <w:rsid w:val="00023958"/>
    <w:rsid w:val="0003140E"/>
    <w:rsid w:val="00032FF6"/>
    <w:rsid w:val="00033B70"/>
    <w:rsid w:val="0004222A"/>
    <w:rsid w:val="00045ACF"/>
    <w:rsid w:val="00046853"/>
    <w:rsid w:val="00046C61"/>
    <w:rsid w:val="000519FD"/>
    <w:rsid w:val="000543D3"/>
    <w:rsid w:val="00055288"/>
    <w:rsid w:val="000552F7"/>
    <w:rsid w:val="00055423"/>
    <w:rsid w:val="000566C6"/>
    <w:rsid w:val="000607DA"/>
    <w:rsid w:val="00063C5F"/>
    <w:rsid w:val="00063F32"/>
    <w:rsid w:val="00065960"/>
    <w:rsid w:val="00066C6E"/>
    <w:rsid w:val="00067107"/>
    <w:rsid w:val="000672BD"/>
    <w:rsid w:val="00067D23"/>
    <w:rsid w:val="0007314F"/>
    <w:rsid w:val="0007320D"/>
    <w:rsid w:val="000739DA"/>
    <w:rsid w:val="00081022"/>
    <w:rsid w:val="000855A3"/>
    <w:rsid w:val="000859CA"/>
    <w:rsid w:val="00090556"/>
    <w:rsid w:val="000944A4"/>
    <w:rsid w:val="00096333"/>
    <w:rsid w:val="00097C66"/>
    <w:rsid w:val="000A01B2"/>
    <w:rsid w:val="000A1A13"/>
    <w:rsid w:val="000A1D1B"/>
    <w:rsid w:val="000B252B"/>
    <w:rsid w:val="000B3978"/>
    <w:rsid w:val="000B5959"/>
    <w:rsid w:val="000B6A5F"/>
    <w:rsid w:val="000C2986"/>
    <w:rsid w:val="000C29CD"/>
    <w:rsid w:val="000C31D6"/>
    <w:rsid w:val="000C3793"/>
    <w:rsid w:val="000C39E9"/>
    <w:rsid w:val="000C4449"/>
    <w:rsid w:val="000C5963"/>
    <w:rsid w:val="000C5D48"/>
    <w:rsid w:val="000C616B"/>
    <w:rsid w:val="000D172A"/>
    <w:rsid w:val="000D1DB8"/>
    <w:rsid w:val="000D2139"/>
    <w:rsid w:val="000D3A6C"/>
    <w:rsid w:val="000D4D6B"/>
    <w:rsid w:val="000D6C39"/>
    <w:rsid w:val="000D6F2B"/>
    <w:rsid w:val="000E330F"/>
    <w:rsid w:val="000E50C1"/>
    <w:rsid w:val="000F1BE4"/>
    <w:rsid w:val="000F4E7E"/>
    <w:rsid w:val="000F6CCD"/>
    <w:rsid w:val="000F71C0"/>
    <w:rsid w:val="000F75EB"/>
    <w:rsid w:val="0010211F"/>
    <w:rsid w:val="00104EFA"/>
    <w:rsid w:val="001057DC"/>
    <w:rsid w:val="001059E6"/>
    <w:rsid w:val="001069D2"/>
    <w:rsid w:val="00107774"/>
    <w:rsid w:val="00110189"/>
    <w:rsid w:val="00111F06"/>
    <w:rsid w:val="00115BE2"/>
    <w:rsid w:val="00120190"/>
    <w:rsid w:val="0012219A"/>
    <w:rsid w:val="00122E7E"/>
    <w:rsid w:val="00123063"/>
    <w:rsid w:val="001231C7"/>
    <w:rsid w:val="00123423"/>
    <w:rsid w:val="00123581"/>
    <w:rsid w:val="00125F1F"/>
    <w:rsid w:val="001261D1"/>
    <w:rsid w:val="0012774E"/>
    <w:rsid w:val="001278AB"/>
    <w:rsid w:val="00130060"/>
    <w:rsid w:val="001314C9"/>
    <w:rsid w:val="001318CC"/>
    <w:rsid w:val="001338E2"/>
    <w:rsid w:val="00134CC7"/>
    <w:rsid w:val="00137F79"/>
    <w:rsid w:val="00140722"/>
    <w:rsid w:val="00141D39"/>
    <w:rsid w:val="00142833"/>
    <w:rsid w:val="00144DD0"/>
    <w:rsid w:val="00145FDF"/>
    <w:rsid w:val="00151420"/>
    <w:rsid w:val="00151AC4"/>
    <w:rsid w:val="00152933"/>
    <w:rsid w:val="001532D7"/>
    <w:rsid w:val="00153EC2"/>
    <w:rsid w:val="00155BB1"/>
    <w:rsid w:val="0015772A"/>
    <w:rsid w:val="001634DE"/>
    <w:rsid w:val="00165B76"/>
    <w:rsid w:val="00165C7E"/>
    <w:rsid w:val="00166678"/>
    <w:rsid w:val="00166BFE"/>
    <w:rsid w:val="001672B6"/>
    <w:rsid w:val="00174610"/>
    <w:rsid w:val="001757AC"/>
    <w:rsid w:val="00175E4F"/>
    <w:rsid w:val="00176B92"/>
    <w:rsid w:val="00177F6A"/>
    <w:rsid w:val="00181214"/>
    <w:rsid w:val="0018174E"/>
    <w:rsid w:val="0018197E"/>
    <w:rsid w:val="00182BFE"/>
    <w:rsid w:val="001830C6"/>
    <w:rsid w:val="0018443B"/>
    <w:rsid w:val="00192CF8"/>
    <w:rsid w:val="001946A7"/>
    <w:rsid w:val="00194974"/>
    <w:rsid w:val="001959E0"/>
    <w:rsid w:val="00196581"/>
    <w:rsid w:val="00196689"/>
    <w:rsid w:val="00196F07"/>
    <w:rsid w:val="00196FF1"/>
    <w:rsid w:val="001972F8"/>
    <w:rsid w:val="001A0895"/>
    <w:rsid w:val="001A0D28"/>
    <w:rsid w:val="001A28B8"/>
    <w:rsid w:val="001A3003"/>
    <w:rsid w:val="001A31ED"/>
    <w:rsid w:val="001B2C03"/>
    <w:rsid w:val="001B4205"/>
    <w:rsid w:val="001B43E1"/>
    <w:rsid w:val="001B521A"/>
    <w:rsid w:val="001B6247"/>
    <w:rsid w:val="001B6847"/>
    <w:rsid w:val="001B710C"/>
    <w:rsid w:val="001B788F"/>
    <w:rsid w:val="001C1281"/>
    <w:rsid w:val="001C13BE"/>
    <w:rsid w:val="001C3195"/>
    <w:rsid w:val="001C45BD"/>
    <w:rsid w:val="001C476E"/>
    <w:rsid w:val="001C5355"/>
    <w:rsid w:val="001C6B6A"/>
    <w:rsid w:val="001C70F4"/>
    <w:rsid w:val="001D183D"/>
    <w:rsid w:val="001D4FFF"/>
    <w:rsid w:val="001D6C96"/>
    <w:rsid w:val="001D759E"/>
    <w:rsid w:val="001E16D3"/>
    <w:rsid w:val="001E2DDE"/>
    <w:rsid w:val="001E56A7"/>
    <w:rsid w:val="001E7FCA"/>
    <w:rsid w:val="001F042A"/>
    <w:rsid w:val="001F0C56"/>
    <w:rsid w:val="001F1265"/>
    <w:rsid w:val="001F2212"/>
    <w:rsid w:val="001F2687"/>
    <w:rsid w:val="001F513F"/>
    <w:rsid w:val="001F5347"/>
    <w:rsid w:val="0020107C"/>
    <w:rsid w:val="002037FE"/>
    <w:rsid w:val="00205516"/>
    <w:rsid w:val="002104FF"/>
    <w:rsid w:val="002116D9"/>
    <w:rsid w:val="002116F3"/>
    <w:rsid w:val="00211A80"/>
    <w:rsid w:val="00213A07"/>
    <w:rsid w:val="00216785"/>
    <w:rsid w:val="00221AD5"/>
    <w:rsid w:val="00222988"/>
    <w:rsid w:val="00225309"/>
    <w:rsid w:val="00230120"/>
    <w:rsid w:val="00232564"/>
    <w:rsid w:val="00233945"/>
    <w:rsid w:val="002344DF"/>
    <w:rsid w:val="002370F3"/>
    <w:rsid w:val="00240A83"/>
    <w:rsid w:val="0024194B"/>
    <w:rsid w:val="00241E5B"/>
    <w:rsid w:val="002456C9"/>
    <w:rsid w:val="00246261"/>
    <w:rsid w:val="00246C68"/>
    <w:rsid w:val="00252647"/>
    <w:rsid w:val="00256850"/>
    <w:rsid w:val="00257F18"/>
    <w:rsid w:val="0026363D"/>
    <w:rsid w:val="002639E0"/>
    <w:rsid w:val="00263A85"/>
    <w:rsid w:val="00264019"/>
    <w:rsid w:val="00264947"/>
    <w:rsid w:val="002667F8"/>
    <w:rsid w:val="0026681F"/>
    <w:rsid w:val="002673D2"/>
    <w:rsid w:val="00267EC0"/>
    <w:rsid w:val="00267ED3"/>
    <w:rsid w:val="002715E4"/>
    <w:rsid w:val="00271A22"/>
    <w:rsid w:val="00276B4B"/>
    <w:rsid w:val="002803A2"/>
    <w:rsid w:val="00281070"/>
    <w:rsid w:val="00283B19"/>
    <w:rsid w:val="00284B87"/>
    <w:rsid w:val="00284FF6"/>
    <w:rsid w:val="0028612B"/>
    <w:rsid w:val="00286F39"/>
    <w:rsid w:val="0029063D"/>
    <w:rsid w:val="00290D4B"/>
    <w:rsid w:val="0029157C"/>
    <w:rsid w:val="0029196A"/>
    <w:rsid w:val="0029429F"/>
    <w:rsid w:val="00294C18"/>
    <w:rsid w:val="00296396"/>
    <w:rsid w:val="00297F3C"/>
    <w:rsid w:val="002A17F6"/>
    <w:rsid w:val="002A18C3"/>
    <w:rsid w:val="002A1D88"/>
    <w:rsid w:val="002A6FE9"/>
    <w:rsid w:val="002A7138"/>
    <w:rsid w:val="002B45D5"/>
    <w:rsid w:val="002B4979"/>
    <w:rsid w:val="002C0A5A"/>
    <w:rsid w:val="002C2136"/>
    <w:rsid w:val="002C359B"/>
    <w:rsid w:val="002C3D6A"/>
    <w:rsid w:val="002C58F2"/>
    <w:rsid w:val="002C7B66"/>
    <w:rsid w:val="002D1636"/>
    <w:rsid w:val="002D2FE6"/>
    <w:rsid w:val="002D3DDB"/>
    <w:rsid w:val="002D4365"/>
    <w:rsid w:val="002D6873"/>
    <w:rsid w:val="002D6AFC"/>
    <w:rsid w:val="002E0943"/>
    <w:rsid w:val="002E1745"/>
    <w:rsid w:val="002E20D8"/>
    <w:rsid w:val="002E2C69"/>
    <w:rsid w:val="002F053B"/>
    <w:rsid w:val="002F2DD8"/>
    <w:rsid w:val="003005B3"/>
    <w:rsid w:val="0030177D"/>
    <w:rsid w:val="00303FA6"/>
    <w:rsid w:val="00310024"/>
    <w:rsid w:val="00312A97"/>
    <w:rsid w:val="00313F4D"/>
    <w:rsid w:val="003146FE"/>
    <w:rsid w:val="0031587A"/>
    <w:rsid w:val="003167E8"/>
    <w:rsid w:val="00323B94"/>
    <w:rsid w:val="00323C6E"/>
    <w:rsid w:val="00325150"/>
    <w:rsid w:val="00327729"/>
    <w:rsid w:val="00331DD4"/>
    <w:rsid w:val="00332782"/>
    <w:rsid w:val="00333A80"/>
    <w:rsid w:val="00334139"/>
    <w:rsid w:val="00335C17"/>
    <w:rsid w:val="00337C5B"/>
    <w:rsid w:val="00337D72"/>
    <w:rsid w:val="0034116D"/>
    <w:rsid w:val="003417C3"/>
    <w:rsid w:val="00346B1D"/>
    <w:rsid w:val="00346B77"/>
    <w:rsid w:val="0034741C"/>
    <w:rsid w:val="0035059A"/>
    <w:rsid w:val="003524AF"/>
    <w:rsid w:val="003541AB"/>
    <w:rsid w:val="003571BD"/>
    <w:rsid w:val="0036340B"/>
    <w:rsid w:val="00363C93"/>
    <w:rsid w:val="00364059"/>
    <w:rsid w:val="00364A59"/>
    <w:rsid w:val="003671F8"/>
    <w:rsid w:val="003678F6"/>
    <w:rsid w:val="00370B10"/>
    <w:rsid w:val="003734FC"/>
    <w:rsid w:val="00374E3D"/>
    <w:rsid w:val="003751B0"/>
    <w:rsid w:val="00375693"/>
    <w:rsid w:val="0038048F"/>
    <w:rsid w:val="003830F8"/>
    <w:rsid w:val="0038693B"/>
    <w:rsid w:val="0039112D"/>
    <w:rsid w:val="003928DA"/>
    <w:rsid w:val="003928E7"/>
    <w:rsid w:val="00392956"/>
    <w:rsid w:val="00393A8F"/>
    <w:rsid w:val="00393F78"/>
    <w:rsid w:val="0039456C"/>
    <w:rsid w:val="003960A6"/>
    <w:rsid w:val="00397D3F"/>
    <w:rsid w:val="003A23EF"/>
    <w:rsid w:val="003A30D6"/>
    <w:rsid w:val="003A314D"/>
    <w:rsid w:val="003A4A2B"/>
    <w:rsid w:val="003A4C94"/>
    <w:rsid w:val="003A5664"/>
    <w:rsid w:val="003A62C8"/>
    <w:rsid w:val="003A78F3"/>
    <w:rsid w:val="003B01D2"/>
    <w:rsid w:val="003B1145"/>
    <w:rsid w:val="003B12D4"/>
    <w:rsid w:val="003B346A"/>
    <w:rsid w:val="003B464B"/>
    <w:rsid w:val="003B4F8D"/>
    <w:rsid w:val="003B6520"/>
    <w:rsid w:val="003B78B5"/>
    <w:rsid w:val="003C09C6"/>
    <w:rsid w:val="003C3621"/>
    <w:rsid w:val="003C3AD4"/>
    <w:rsid w:val="003C5FAA"/>
    <w:rsid w:val="003C7B33"/>
    <w:rsid w:val="003D240C"/>
    <w:rsid w:val="003D489F"/>
    <w:rsid w:val="003D733B"/>
    <w:rsid w:val="003D7A2D"/>
    <w:rsid w:val="003D7E50"/>
    <w:rsid w:val="003E02FA"/>
    <w:rsid w:val="003E21D0"/>
    <w:rsid w:val="003E21D8"/>
    <w:rsid w:val="003E3498"/>
    <w:rsid w:val="003E45DF"/>
    <w:rsid w:val="003E70D0"/>
    <w:rsid w:val="003E7BB5"/>
    <w:rsid w:val="003F36FD"/>
    <w:rsid w:val="003F3BF5"/>
    <w:rsid w:val="003F73C6"/>
    <w:rsid w:val="003F7A76"/>
    <w:rsid w:val="00401159"/>
    <w:rsid w:val="004027D2"/>
    <w:rsid w:val="004063BC"/>
    <w:rsid w:val="00406BA8"/>
    <w:rsid w:val="00407E64"/>
    <w:rsid w:val="00413C42"/>
    <w:rsid w:val="004145F4"/>
    <w:rsid w:val="00414A3F"/>
    <w:rsid w:val="00416BB2"/>
    <w:rsid w:val="004177F7"/>
    <w:rsid w:val="004220A5"/>
    <w:rsid w:val="00423199"/>
    <w:rsid w:val="00423E45"/>
    <w:rsid w:val="00425180"/>
    <w:rsid w:val="0042673B"/>
    <w:rsid w:val="00426B3F"/>
    <w:rsid w:val="00434FA2"/>
    <w:rsid w:val="0044232E"/>
    <w:rsid w:val="0044420B"/>
    <w:rsid w:val="004452FC"/>
    <w:rsid w:val="00445416"/>
    <w:rsid w:val="00445ED1"/>
    <w:rsid w:val="0044620F"/>
    <w:rsid w:val="0044678A"/>
    <w:rsid w:val="004470A9"/>
    <w:rsid w:val="00447625"/>
    <w:rsid w:val="00453E72"/>
    <w:rsid w:val="00454E99"/>
    <w:rsid w:val="004576A7"/>
    <w:rsid w:val="0046059D"/>
    <w:rsid w:val="00462ADA"/>
    <w:rsid w:val="0046352A"/>
    <w:rsid w:val="00464ED8"/>
    <w:rsid w:val="004656AA"/>
    <w:rsid w:val="00465A1A"/>
    <w:rsid w:val="00465CC2"/>
    <w:rsid w:val="00466EEA"/>
    <w:rsid w:val="00471DF2"/>
    <w:rsid w:val="0047436E"/>
    <w:rsid w:val="00475770"/>
    <w:rsid w:val="00476614"/>
    <w:rsid w:val="00480C6B"/>
    <w:rsid w:val="00483453"/>
    <w:rsid w:val="0049087A"/>
    <w:rsid w:val="00492107"/>
    <w:rsid w:val="00492757"/>
    <w:rsid w:val="00493CB7"/>
    <w:rsid w:val="004A0336"/>
    <w:rsid w:val="004A061A"/>
    <w:rsid w:val="004A0E11"/>
    <w:rsid w:val="004A1E09"/>
    <w:rsid w:val="004A2635"/>
    <w:rsid w:val="004A3E0A"/>
    <w:rsid w:val="004A4ECB"/>
    <w:rsid w:val="004A6016"/>
    <w:rsid w:val="004B3A51"/>
    <w:rsid w:val="004B4859"/>
    <w:rsid w:val="004B5490"/>
    <w:rsid w:val="004C0691"/>
    <w:rsid w:val="004C0EF4"/>
    <w:rsid w:val="004C1F6E"/>
    <w:rsid w:val="004C6EF3"/>
    <w:rsid w:val="004D0D1A"/>
    <w:rsid w:val="004D1B7F"/>
    <w:rsid w:val="004D3793"/>
    <w:rsid w:val="004D6C0B"/>
    <w:rsid w:val="004D76AB"/>
    <w:rsid w:val="004E17C1"/>
    <w:rsid w:val="004E6886"/>
    <w:rsid w:val="004E7782"/>
    <w:rsid w:val="004F1782"/>
    <w:rsid w:val="004F2255"/>
    <w:rsid w:val="004F5F7B"/>
    <w:rsid w:val="004F6B09"/>
    <w:rsid w:val="00500AF2"/>
    <w:rsid w:val="00502B7B"/>
    <w:rsid w:val="00502D64"/>
    <w:rsid w:val="00503790"/>
    <w:rsid w:val="00503C02"/>
    <w:rsid w:val="00504682"/>
    <w:rsid w:val="00505635"/>
    <w:rsid w:val="00506B08"/>
    <w:rsid w:val="00510154"/>
    <w:rsid w:val="005134AA"/>
    <w:rsid w:val="00513E4C"/>
    <w:rsid w:val="00515819"/>
    <w:rsid w:val="00516866"/>
    <w:rsid w:val="00517668"/>
    <w:rsid w:val="0052009E"/>
    <w:rsid w:val="005211CE"/>
    <w:rsid w:val="005236FB"/>
    <w:rsid w:val="00523A43"/>
    <w:rsid w:val="00523C5C"/>
    <w:rsid w:val="00525226"/>
    <w:rsid w:val="00525F57"/>
    <w:rsid w:val="0052658B"/>
    <w:rsid w:val="005269D4"/>
    <w:rsid w:val="00530E6C"/>
    <w:rsid w:val="00534325"/>
    <w:rsid w:val="00536231"/>
    <w:rsid w:val="00536A0E"/>
    <w:rsid w:val="00536AD9"/>
    <w:rsid w:val="00537EC3"/>
    <w:rsid w:val="00545B6B"/>
    <w:rsid w:val="00545F82"/>
    <w:rsid w:val="005463A5"/>
    <w:rsid w:val="005500AC"/>
    <w:rsid w:val="00551879"/>
    <w:rsid w:val="00554EF3"/>
    <w:rsid w:val="00561CC7"/>
    <w:rsid w:val="005644E6"/>
    <w:rsid w:val="00564DFD"/>
    <w:rsid w:val="005661F2"/>
    <w:rsid w:val="00566219"/>
    <w:rsid w:val="0057125E"/>
    <w:rsid w:val="00572673"/>
    <w:rsid w:val="00575531"/>
    <w:rsid w:val="0058137A"/>
    <w:rsid w:val="00585E5D"/>
    <w:rsid w:val="005861C5"/>
    <w:rsid w:val="00586F8F"/>
    <w:rsid w:val="00590F55"/>
    <w:rsid w:val="0059239F"/>
    <w:rsid w:val="00593341"/>
    <w:rsid w:val="00594956"/>
    <w:rsid w:val="005A07D4"/>
    <w:rsid w:val="005A1F49"/>
    <w:rsid w:val="005A4854"/>
    <w:rsid w:val="005A7DB5"/>
    <w:rsid w:val="005B0903"/>
    <w:rsid w:val="005B24A4"/>
    <w:rsid w:val="005B2B1C"/>
    <w:rsid w:val="005B4234"/>
    <w:rsid w:val="005B7643"/>
    <w:rsid w:val="005C11D6"/>
    <w:rsid w:val="005C4EB2"/>
    <w:rsid w:val="005C594A"/>
    <w:rsid w:val="005C6263"/>
    <w:rsid w:val="005D0601"/>
    <w:rsid w:val="005D0ED4"/>
    <w:rsid w:val="005D4982"/>
    <w:rsid w:val="005D4AFC"/>
    <w:rsid w:val="005E107E"/>
    <w:rsid w:val="005E186A"/>
    <w:rsid w:val="005E1C9F"/>
    <w:rsid w:val="005E24A8"/>
    <w:rsid w:val="005E2D87"/>
    <w:rsid w:val="005E399D"/>
    <w:rsid w:val="005E3B9C"/>
    <w:rsid w:val="005E4B95"/>
    <w:rsid w:val="005F0BD3"/>
    <w:rsid w:val="005F34BC"/>
    <w:rsid w:val="005F3F91"/>
    <w:rsid w:val="005F639C"/>
    <w:rsid w:val="005F6B36"/>
    <w:rsid w:val="005F6DAD"/>
    <w:rsid w:val="005F7EB5"/>
    <w:rsid w:val="0060195D"/>
    <w:rsid w:val="0061251B"/>
    <w:rsid w:val="00616835"/>
    <w:rsid w:val="00616CD6"/>
    <w:rsid w:val="00616F81"/>
    <w:rsid w:val="00617982"/>
    <w:rsid w:val="00625AA2"/>
    <w:rsid w:val="00626BFC"/>
    <w:rsid w:val="00630317"/>
    <w:rsid w:val="00630B8B"/>
    <w:rsid w:val="00631F43"/>
    <w:rsid w:val="006320C1"/>
    <w:rsid w:val="006329CC"/>
    <w:rsid w:val="006338FA"/>
    <w:rsid w:val="00641C23"/>
    <w:rsid w:val="00642538"/>
    <w:rsid w:val="00645883"/>
    <w:rsid w:val="00646644"/>
    <w:rsid w:val="00647D2A"/>
    <w:rsid w:val="006528E2"/>
    <w:rsid w:val="00654EC0"/>
    <w:rsid w:val="0065529B"/>
    <w:rsid w:val="00657079"/>
    <w:rsid w:val="00657A2A"/>
    <w:rsid w:val="0066019F"/>
    <w:rsid w:val="006630BE"/>
    <w:rsid w:val="00664454"/>
    <w:rsid w:val="00665B1B"/>
    <w:rsid w:val="00666E13"/>
    <w:rsid w:val="00667A6C"/>
    <w:rsid w:val="00670225"/>
    <w:rsid w:val="00670432"/>
    <w:rsid w:val="00671525"/>
    <w:rsid w:val="00672980"/>
    <w:rsid w:val="0067417B"/>
    <w:rsid w:val="00675005"/>
    <w:rsid w:val="006758A9"/>
    <w:rsid w:val="006759D9"/>
    <w:rsid w:val="00684482"/>
    <w:rsid w:val="00690477"/>
    <w:rsid w:val="006906BA"/>
    <w:rsid w:val="00694475"/>
    <w:rsid w:val="00694BD8"/>
    <w:rsid w:val="00694E90"/>
    <w:rsid w:val="00696BC1"/>
    <w:rsid w:val="006A0CA7"/>
    <w:rsid w:val="006A11EA"/>
    <w:rsid w:val="006A2B86"/>
    <w:rsid w:val="006A3110"/>
    <w:rsid w:val="006A3E8F"/>
    <w:rsid w:val="006A5036"/>
    <w:rsid w:val="006A6EC9"/>
    <w:rsid w:val="006B064A"/>
    <w:rsid w:val="006B3267"/>
    <w:rsid w:val="006B5E0C"/>
    <w:rsid w:val="006C0ABB"/>
    <w:rsid w:val="006D1352"/>
    <w:rsid w:val="006D2329"/>
    <w:rsid w:val="006D3F64"/>
    <w:rsid w:val="006E043E"/>
    <w:rsid w:val="006E2396"/>
    <w:rsid w:val="006E3FDF"/>
    <w:rsid w:val="006E5BDE"/>
    <w:rsid w:val="006E5CC7"/>
    <w:rsid w:val="006F073E"/>
    <w:rsid w:val="006F160F"/>
    <w:rsid w:val="006F18BA"/>
    <w:rsid w:val="006F3ACF"/>
    <w:rsid w:val="0070296E"/>
    <w:rsid w:val="00702CA7"/>
    <w:rsid w:val="007039A6"/>
    <w:rsid w:val="00703AC0"/>
    <w:rsid w:val="00703B19"/>
    <w:rsid w:val="007047DA"/>
    <w:rsid w:val="00704F3D"/>
    <w:rsid w:val="007066C8"/>
    <w:rsid w:val="00710118"/>
    <w:rsid w:val="0071019A"/>
    <w:rsid w:val="00711730"/>
    <w:rsid w:val="00715E70"/>
    <w:rsid w:val="007167F8"/>
    <w:rsid w:val="00717501"/>
    <w:rsid w:val="007178A0"/>
    <w:rsid w:val="0072396D"/>
    <w:rsid w:val="00734CB0"/>
    <w:rsid w:val="00735138"/>
    <w:rsid w:val="007358B6"/>
    <w:rsid w:val="00735B98"/>
    <w:rsid w:val="0073606E"/>
    <w:rsid w:val="00737462"/>
    <w:rsid w:val="00742841"/>
    <w:rsid w:val="00746A22"/>
    <w:rsid w:val="00746B28"/>
    <w:rsid w:val="00746DB5"/>
    <w:rsid w:val="00747EA4"/>
    <w:rsid w:val="00751124"/>
    <w:rsid w:val="00751643"/>
    <w:rsid w:val="00753834"/>
    <w:rsid w:val="00755DAC"/>
    <w:rsid w:val="0075770C"/>
    <w:rsid w:val="0076493C"/>
    <w:rsid w:val="00764BA9"/>
    <w:rsid w:val="007678FD"/>
    <w:rsid w:val="00770BAF"/>
    <w:rsid w:val="00773ADE"/>
    <w:rsid w:val="007768D1"/>
    <w:rsid w:val="0077718A"/>
    <w:rsid w:val="007771AD"/>
    <w:rsid w:val="00777ABE"/>
    <w:rsid w:val="00781646"/>
    <w:rsid w:val="00783C87"/>
    <w:rsid w:val="00787608"/>
    <w:rsid w:val="007906D8"/>
    <w:rsid w:val="00794168"/>
    <w:rsid w:val="00797EF6"/>
    <w:rsid w:val="007A1333"/>
    <w:rsid w:val="007A1F06"/>
    <w:rsid w:val="007A26F1"/>
    <w:rsid w:val="007A38FA"/>
    <w:rsid w:val="007A4526"/>
    <w:rsid w:val="007A64BD"/>
    <w:rsid w:val="007A794F"/>
    <w:rsid w:val="007B194A"/>
    <w:rsid w:val="007B3F57"/>
    <w:rsid w:val="007B4642"/>
    <w:rsid w:val="007B532A"/>
    <w:rsid w:val="007B54F6"/>
    <w:rsid w:val="007C0342"/>
    <w:rsid w:val="007C17A8"/>
    <w:rsid w:val="007C2706"/>
    <w:rsid w:val="007D1904"/>
    <w:rsid w:val="007D2FA1"/>
    <w:rsid w:val="007E051C"/>
    <w:rsid w:val="007E07FB"/>
    <w:rsid w:val="007E1E61"/>
    <w:rsid w:val="007E2976"/>
    <w:rsid w:val="007E2B65"/>
    <w:rsid w:val="007E4407"/>
    <w:rsid w:val="007E72B7"/>
    <w:rsid w:val="007F1A1B"/>
    <w:rsid w:val="007F3D02"/>
    <w:rsid w:val="007F7269"/>
    <w:rsid w:val="00805C4C"/>
    <w:rsid w:val="008072F5"/>
    <w:rsid w:val="0081183F"/>
    <w:rsid w:val="00811857"/>
    <w:rsid w:val="00812356"/>
    <w:rsid w:val="008129F5"/>
    <w:rsid w:val="0081367E"/>
    <w:rsid w:val="00816949"/>
    <w:rsid w:val="00820264"/>
    <w:rsid w:val="008213F0"/>
    <w:rsid w:val="00822B16"/>
    <w:rsid w:val="00825982"/>
    <w:rsid w:val="00825A26"/>
    <w:rsid w:val="00825C04"/>
    <w:rsid w:val="00827EAE"/>
    <w:rsid w:val="0083184C"/>
    <w:rsid w:val="00835AB6"/>
    <w:rsid w:val="00835DE2"/>
    <w:rsid w:val="008363C2"/>
    <w:rsid w:val="0083749F"/>
    <w:rsid w:val="00837D19"/>
    <w:rsid w:val="0084123D"/>
    <w:rsid w:val="008422B1"/>
    <w:rsid w:val="0084437F"/>
    <w:rsid w:val="0084452F"/>
    <w:rsid w:val="00845571"/>
    <w:rsid w:val="008523E5"/>
    <w:rsid w:val="008538A8"/>
    <w:rsid w:val="00854CA6"/>
    <w:rsid w:val="00856003"/>
    <w:rsid w:val="00856089"/>
    <w:rsid w:val="00863C48"/>
    <w:rsid w:val="00866C4F"/>
    <w:rsid w:val="00867F8A"/>
    <w:rsid w:val="00870C2C"/>
    <w:rsid w:val="00872313"/>
    <w:rsid w:val="00872460"/>
    <w:rsid w:val="00873802"/>
    <w:rsid w:val="00874DA5"/>
    <w:rsid w:val="00874FD7"/>
    <w:rsid w:val="0087566E"/>
    <w:rsid w:val="00880276"/>
    <w:rsid w:val="008819DC"/>
    <w:rsid w:val="0088366E"/>
    <w:rsid w:val="00884822"/>
    <w:rsid w:val="00885735"/>
    <w:rsid w:val="00885DFA"/>
    <w:rsid w:val="00886BAF"/>
    <w:rsid w:val="00892583"/>
    <w:rsid w:val="0089276C"/>
    <w:rsid w:val="00892AF1"/>
    <w:rsid w:val="008944F3"/>
    <w:rsid w:val="00895D8D"/>
    <w:rsid w:val="00897E0A"/>
    <w:rsid w:val="008A09CC"/>
    <w:rsid w:val="008A169A"/>
    <w:rsid w:val="008A5307"/>
    <w:rsid w:val="008A5AB4"/>
    <w:rsid w:val="008A65FA"/>
    <w:rsid w:val="008B1976"/>
    <w:rsid w:val="008B3228"/>
    <w:rsid w:val="008B527E"/>
    <w:rsid w:val="008C1192"/>
    <w:rsid w:val="008C1CC4"/>
    <w:rsid w:val="008C3436"/>
    <w:rsid w:val="008C37F9"/>
    <w:rsid w:val="008C7706"/>
    <w:rsid w:val="008D369B"/>
    <w:rsid w:val="008D39E6"/>
    <w:rsid w:val="008D52DC"/>
    <w:rsid w:val="008D7A7D"/>
    <w:rsid w:val="008D7D31"/>
    <w:rsid w:val="008E17BD"/>
    <w:rsid w:val="008E2D83"/>
    <w:rsid w:val="008E30DA"/>
    <w:rsid w:val="008E527D"/>
    <w:rsid w:val="008E5F7B"/>
    <w:rsid w:val="008F0723"/>
    <w:rsid w:val="008F15B4"/>
    <w:rsid w:val="008F4486"/>
    <w:rsid w:val="008F46D2"/>
    <w:rsid w:val="008F4927"/>
    <w:rsid w:val="008F4C76"/>
    <w:rsid w:val="008F5672"/>
    <w:rsid w:val="008F66CB"/>
    <w:rsid w:val="008F6FD3"/>
    <w:rsid w:val="00900540"/>
    <w:rsid w:val="009016D0"/>
    <w:rsid w:val="00902598"/>
    <w:rsid w:val="00903A9F"/>
    <w:rsid w:val="00903D0C"/>
    <w:rsid w:val="0090445E"/>
    <w:rsid w:val="00904964"/>
    <w:rsid w:val="00906FF5"/>
    <w:rsid w:val="00910F4F"/>
    <w:rsid w:val="009164A1"/>
    <w:rsid w:val="00917C83"/>
    <w:rsid w:val="0092190C"/>
    <w:rsid w:val="00923189"/>
    <w:rsid w:val="00923FBF"/>
    <w:rsid w:val="009251D3"/>
    <w:rsid w:val="00927A47"/>
    <w:rsid w:val="00933881"/>
    <w:rsid w:val="009339A0"/>
    <w:rsid w:val="0093765D"/>
    <w:rsid w:val="00937EB7"/>
    <w:rsid w:val="00943AAF"/>
    <w:rsid w:val="009444DC"/>
    <w:rsid w:val="00946028"/>
    <w:rsid w:val="00956182"/>
    <w:rsid w:val="00957A8C"/>
    <w:rsid w:val="0096175E"/>
    <w:rsid w:val="0096420C"/>
    <w:rsid w:val="00965F2F"/>
    <w:rsid w:val="00971C20"/>
    <w:rsid w:val="00976FD6"/>
    <w:rsid w:val="009802F5"/>
    <w:rsid w:val="00983FF7"/>
    <w:rsid w:val="00984C70"/>
    <w:rsid w:val="00985E36"/>
    <w:rsid w:val="00986DDF"/>
    <w:rsid w:val="00987CFA"/>
    <w:rsid w:val="009915DB"/>
    <w:rsid w:val="00992539"/>
    <w:rsid w:val="0099286E"/>
    <w:rsid w:val="00994BD3"/>
    <w:rsid w:val="009962AE"/>
    <w:rsid w:val="00996499"/>
    <w:rsid w:val="009974BE"/>
    <w:rsid w:val="009A33D3"/>
    <w:rsid w:val="009A36FD"/>
    <w:rsid w:val="009A4BD2"/>
    <w:rsid w:val="009B1C8B"/>
    <w:rsid w:val="009B2AC7"/>
    <w:rsid w:val="009B483E"/>
    <w:rsid w:val="009B54C5"/>
    <w:rsid w:val="009B6B28"/>
    <w:rsid w:val="009C17B2"/>
    <w:rsid w:val="009C4BA7"/>
    <w:rsid w:val="009C4F8E"/>
    <w:rsid w:val="009C5A0F"/>
    <w:rsid w:val="009D0FDA"/>
    <w:rsid w:val="009D1643"/>
    <w:rsid w:val="009D4B45"/>
    <w:rsid w:val="009D6E3C"/>
    <w:rsid w:val="009E03E7"/>
    <w:rsid w:val="009F03B9"/>
    <w:rsid w:val="009F36E6"/>
    <w:rsid w:val="00A01B85"/>
    <w:rsid w:val="00A02674"/>
    <w:rsid w:val="00A0632E"/>
    <w:rsid w:val="00A114EB"/>
    <w:rsid w:val="00A1361A"/>
    <w:rsid w:val="00A16FDA"/>
    <w:rsid w:val="00A17707"/>
    <w:rsid w:val="00A21104"/>
    <w:rsid w:val="00A26D97"/>
    <w:rsid w:val="00A30429"/>
    <w:rsid w:val="00A31B75"/>
    <w:rsid w:val="00A32CBD"/>
    <w:rsid w:val="00A33214"/>
    <w:rsid w:val="00A3394B"/>
    <w:rsid w:val="00A35289"/>
    <w:rsid w:val="00A42CD0"/>
    <w:rsid w:val="00A46701"/>
    <w:rsid w:val="00A47B82"/>
    <w:rsid w:val="00A47E18"/>
    <w:rsid w:val="00A54C33"/>
    <w:rsid w:val="00A56EC3"/>
    <w:rsid w:val="00A60687"/>
    <w:rsid w:val="00A66D50"/>
    <w:rsid w:val="00A67763"/>
    <w:rsid w:val="00A67CBA"/>
    <w:rsid w:val="00A702C9"/>
    <w:rsid w:val="00A75C65"/>
    <w:rsid w:val="00A8095E"/>
    <w:rsid w:val="00A80C84"/>
    <w:rsid w:val="00A85BA0"/>
    <w:rsid w:val="00A86C58"/>
    <w:rsid w:val="00A86E0E"/>
    <w:rsid w:val="00A87AC6"/>
    <w:rsid w:val="00A87CFA"/>
    <w:rsid w:val="00A908DC"/>
    <w:rsid w:val="00A908F7"/>
    <w:rsid w:val="00A9122A"/>
    <w:rsid w:val="00A9228B"/>
    <w:rsid w:val="00AA49F1"/>
    <w:rsid w:val="00AA52ED"/>
    <w:rsid w:val="00AA6EF7"/>
    <w:rsid w:val="00AB160A"/>
    <w:rsid w:val="00AB38DE"/>
    <w:rsid w:val="00AB43F4"/>
    <w:rsid w:val="00AB671B"/>
    <w:rsid w:val="00AB68F5"/>
    <w:rsid w:val="00AC0654"/>
    <w:rsid w:val="00AC6B4A"/>
    <w:rsid w:val="00AD0A20"/>
    <w:rsid w:val="00AD3B02"/>
    <w:rsid w:val="00AD459B"/>
    <w:rsid w:val="00AE3801"/>
    <w:rsid w:val="00AE4210"/>
    <w:rsid w:val="00AE5077"/>
    <w:rsid w:val="00AE70B7"/>
    <w:rsid w:val="00AF19B6"/>
    <w:rsid w:val="00AF309C"/>
    <w:rsid w:val="00AF5F00"/>
    <w:rsid w:val="00AF62A0"/>
    <w:rsid w:val="00AF6B52"/>
    <w:rsid w:val="00AF78F6"/>
    <w:rsid w:val="00AF7A51"/>
    <w:rsid w:val="00B022EA"/>
    <w:rsid w:val="00B02A22"/>
    <w:rsid w:val="00B030F2"/>
    <w:rsid w:val="00B03E4A"/>
    <w:rsid w:val="00B04675"/>
    <w:rsid w:val="00B057AF"/>
    <w:rsid w:val="00B10849"/>
    <w:rsid w:val="00B10E54"/>
    <w:rsid w:val="00B12451"/>
    <w:rsid w:val="00B144BE"/>
    <w:rsid w:val="00B14864"/>
    <w:rsid w:val="00B15D1B"/>
    <w:rsid w:val="00B246AA"/>
    <w:rsid w:val="00B24752"/>
    <w:rsid w:val="00B24E05"/>
    <w:rsid w:val="00B26046"/>
    <w:rsid w:val="00B266FD"/>
    <w:rsid w:val="00B31B40"/>
    <w:rsid w:val="00B32DDB"/>
    <w:rsid w:val="00B32F43"/>
    <w:rsid w:val="00B34290"/>
    <w:rsid w:val="00B3594B"/>
    <w:rsid w:val="00B363B5"/>
    <w:rsid w:val="00B36BCA"/>
    <w:rsid w:val="00B37C64"/>
    <w:rsid w:val="00B37FA5"/>
    <w:rsid w:val="00B43E4D"/>
    <w:rsid w:val="00B44572"/>
    <w:rsid w:val="00B45278"/>
    <w:rsid w:val="00B473E9"/>
    <w:rsid w:val="00B54D25"/>
    <w:rsid w:val="00B5517E"/>
    <w:rsid w:val="00B55871"/>
    <w:rsid w:val="00B55F8A"/>
    <w:rsid w:val="00B57169"/>
    <w:rsid w:val="00B6313E"/>
    <w:rsid w:val="00B65477"/>
    <w:rsid w:val="00B659A5"/>
    <w:rsid w:val="00B66800"/>
    <w:rsid w:val="00B71E08"/>
    <w:rsid w:val="00B727D9"/>
    <w:rsid w:val="00B75146"/>
    <w:rsid w:val="00B77A99"/>
    <w:rsid w:val="00B80D12"/>
    <w:rsid w:val="00B83C66"/>
    <w:rsid w:val="00B85602"/>
    <w:rsid w:val="00B87D57"/>
    <w:rsid w:val="00B87DE1"/>
    <w:rsid w:val="00B91B41"/>
    <w:rsid w:val="00B927DC"/>
    <w:rsid w:val="00B96D25"/>
    <w:rsid w:val="00BA0EF2"/>
    <w:rsid w:val="00BA30E6"/>
    <w:rsid w:val="00BA5098"/>
    <w:rsid w:val="00BA6C47"/>
    <w:rsid w:val="00BA77AD"/>
    <w:rsid w:val="00BB1FD0"/>
    <w:rsid w:val="00BB43BA"/>
    <w:rsid w:val="00BB72FD"/>
    <w:rsid w:val="00BC0B11"/>
    <w:rsid w:val="00BC1925"/>
    <w:rsid w:val="00BC3A36"/>
    <w:rsid w:val="00BC4411"/>
    <w:rsid w:val="00BC59E6"/>
    <w:rsid w:val="00BC6D65"/>
    <w:rsid w:val="00BC7E52"/>
    <w:rsid w:val="00BD0337"/>
    <w:rsid w:val="00BD4AD2"/>
    <w:rsid w:val="00BD6AB4"/>
    <w:rsid w:val="00BE18D3"/>
    <w:rsid w:val="00BE1DBF"/>
    <w:rsid w:val="00BE68D4"/>
    <w:rsid w:val="00BF0912"/>
    <w:rsid w:val="00BF11C3"/>
    <w:rsid w:val="00BF31E9"/>
    <w:rsid w:val="00BF5C56"/>
    <w:rsid w:val="00BF6077"/>
    <w:rsid w:val="00BF6EDF"/>
    <w:rsid w:val="00C02CCE"/>
    <w:rsid w:val="00C03335"/>
    <w:rsid w:val="00C035AC"/>
    <w:rsid w:val="00C03F4C"/>
    <w:rsid w:val="00C10884"/>
    <w:rsid w:val="00C113CD"/>
    <w:rsid w:val="00C12BA7"/>
    <w:rsid w:val="00C148AA"/>
    <w:rsid w:val="00C1660E"/>
    <w:rsid w:val="00C169C7"/>
    <w:rsid w:val="00C2114B"/>
    <w:rsid w:val="00C21B11"/>
    <w:rsid w:val="00C2216E"/>
    <w:rsid w:val="00C23B43"/>
    <w:rsid w:val="00C23CD1"/>
    <w:rsid w:val="00C343A2"/>
    <w:rsid w:val="00C3634A"/>
    <w:rsid w:val="00C365E6"/>
    <w:rsid w:val="00C37B24"/>
    <w:rsid w:val="00C42DF1"/>
    <w:rsid w:val="00C449DF"/>
    <w:rsid w:val="00C46C46"/>
    <w:rsid w:val="00C47D64"/>
    <w:rsid w:val="00C505B2"/>
    <w:rsid w:val="00C50FE0"/>
    <w:rsid w:val="00C514E9"/>
    <w:rsid w:val="00C54B6E"/>
    <w:rsid w:val="00C55ED3"/>
    <w:rsid w:val="00C63776"/>
    <w:rsid w:val="00C662DC"/>
    <w:rsid w:val="00C67603"/>
    <w:rsid w:val="00C741CA"/>
    <w:rsid w:val="00C8053D"/>
    <w:rsid w:val="00C81517"/>
    <w:rsid w:val="00C81FB8"/>
    <w:rsid w:val="00C82F0A"/>
    <w:rsid w:val="00C8376D"/>
    <w:rsid w:val="00C8434C"/>
    <w:rsid w:val="00C8643B"/>
    <w:rsid w:val="00C90EAA"/>
    <w:rsid w:val="00C912A4"/>
    <w:rsid w:val="00C916D0"/>
    <w:rsid w:val="00C9194A"/>
    <w:rsid w:val="00C92EE5"/>
    <w:rsid w:val="00C94E8A"/>
    <w:rsid w:val="00C95CFD"/>
    <w:rsid w:val="00CA2B9B"/>
    <w:rsid w:val="00CA4802"/>
    <w:rsid w:val="00CA72D7"/>
    <w:rsid w:val="00CB1682"/>
    <w:rsid w:val="00CB7848"/>
    <w:rsid w:val="00CB7D24"/>
    <w:rsid w:val="00CC1CB5"/>
    <w:rsid w:val="00CC48AD"/>
    <w:rsid w:val="00CC7865"/>
    <w:rsid w:val="00CD01A9"/>
    <w:rsid w:val="00CD0659"/>
    <w:rsid w:val="00CD0DD6"/>
    <w:rsid w:val="00CD137A"/>
    <w:rsid w:val="00CD5259"/>
    <w:rsid w:val="00CD5C43"/>
    <w:rsid w:val="00CD5CD5"/>
    <w:rsid w:val="00CD75E6"/>
    <w:rsid w:val="00CE1351"/>
    <w:rsid w:val="00CE6734"/>
    <w:rsid w:val="00CE7244"/>
    <w:rsid w:val="00CF42E3"/>
    <w:rsid w:val="00CF5E02"/>
    <w:rsid w:val="00CF71B6"/>
    <w:rsid w:val="00CF7D44"/>
    <w:rsid w:val="00D0063A"/>
    <w:rsid w:val="00D00F1E"/>
    <w:rsid w:val="00D040B5"/>
    <w:rsid w:val="00D0654D"/>
    <w:rsid w:val="00D109FC"/>
    <w:rsid w:val="00D11502"/>
    <w:rsid w:val="00D122E3"/>
    <w:rsid w:val="00D14AD4"/>
    <w:rsid w:val="00D15BB9"/>
    <w:rsid w:val="00D21FDC"/>
    <w:rsid w:val="00D23043"/>
    <w:rsid w:val="00D24362"/>
    <w:rsid w:val="00D2450B"/>
    <w:rsid w:val="00D24AAC"/>
    <w:rsid w:val="00D26918"/>
    <w:rsid w:val="00D26957"/>
    <w:rsid w:val="00D27239"/>
    <w:rsid w:val="00D30723"/>
    <w:rsid w:val="00D37ABA"/>
    <w:rsid w:val="00D42AD3"/>
    <w:rsid w:val="00D44EE4"/>
    <w:rsid w:val="00D51D8A"/>
    <w:rsid w:val="00D52476"/>
    <w:rsid w:val="00D54F20"/>
    <w:rsid w:val="00D55407"/>
    <w:rsid w:val="00D559E7"/>
    <w:rsid w:val="00D568A7"/>
    <w:rsid w:val="00D5755D"/>
    <w:rsid w:val="00D617E6"/>
    <w:rsid w:val="00D6285C"/>
    <w:rsid w:val="00D65DCD"/>
    <w:rsid w:val="00D747E8"/>
    <w:rsid w:val="00D7697C"/>
    <w:rsid w:val="00D773E9"/>
    <w:rsid w:val="00D776E6"/>
    <w:rsid w:val="00D8151F"/>
    <w:rsid w:val="00D81D0C"/>
    <w:rsid w:val="00D81D81"/>
    <w:rsid w:val="00D82087"/>
    <w:rsid w:val="00D82CDB"/>
    <w:rsid w:val="00D83934"/>
    <w:rsid w:val="00D905EA"/>
    <w:rsid w:val="00D9075C"/>
    <w:rsid w:val="00D907BD"/>
    <w:rsid w:val="00D92101"/>
    <w:rsid w:val="00D93338"/>
    <w:rsid w:val="00D95EB4"/>
    <w:rsid w:val="00DA0E54"/>
    <w:rsid w:val="00DA32EC"/>
    <w:rsid w:val="00DA4C57"/>
    <w:rsid w:val="00DA5234"/>
    <w:rsid w:val="00DA532F"/>
    <w:rsid w:val="00DA69C2"/>
    <w:rsid w:val="00DB0125"/>
    <w:rsid w:val="00DB2A08"/>
    <w:rsid w:val="00DB6589"/>
    <w:rsid w:val="00DB6704"/>
    <w:rsid w:val="00DB7C3C"/>
    <w:rsid w:val="00DC2908"/>
    <w:rsid w:val="00DC5FB2"/>
    <w:rsid w:val="00DD06B8"/>
    <w:rsid w:val="00DD1516"/>
    <w:rsid w:val="00DD64AF"/>
    <w:rsid w:val="00DE1C42"/>
    <w:rsid w:val="00DE5369"/>
    <w:rsid w:val="00DE66CB"/>
    <w:rsid w:val="00DE78DE"/>
    <w:rsid w:val="00DF0770"/>
    <w:rsid w:val="00DF34C3"/>
    <w:rsid w:val="00DF4162"/>
    <w:rsid w:val="00DF4590"/>
    <w:rsid w:val="00DF57F2"/>
    <w:rsid w:val="00E0202D"/>
    <w:rsid w:val="00E020B9"/>
    <w:rsid w:val="00E020D8"/>
    <w:rsid w:val="00E023BA"/>
    <w:rsid w:val="00E02AED"/>
    <w:rsid w:val="00E07B24"/>
    <w:rsid w:val="00E07C4E"/>
    <w:rsid w:val="00E10D0F"/>
    <w:rsid w:val="00E12011"/>
    <w:rsid w:val="00E12629"/>
    <w:rsid w:val="00E12F91"/>
    <w:rsid w:val="00E142DC"/>
    <w:rsid w:val="00E142E6"/>
    <w:rsid w:val="00E1501F"/>
    <w:rsid w:val="00E1697C"/>
    <w:rsid w:val="00E207A5"/>
    <w:rsid w:val="00E22364"/>
    <w:rsid w:val="00E26D9F"/>
    <w:rsid w:val="00E302FA"/>
    <w:rsid w:val="00E30A47"/>
    <w:rsid w:val="00E32EB7"/>
    <w:rsid w:val="00E330E7"/>
    <w:rsid w:val="00E34FD9"/>
    <w:rsid w:val="00E35F65"/>
    <w:rsid w:val="00E41CB2"/>
    <w:rsid w:val="00E45489"/>
    <w:rsid w:val="00E4700F"/>
    <w:rsid w:val="00E51DF9"/>
    <w:rsid w:val="00E53B91"/>
    <w:rsid w:val="00E579BE"/>
    <w:rsid w:val="00E65F74"/>
    <w:rsid w:val="00E66225"/>
    <w:rsid w:val="00E73E27"/>
    <w:rsid w:val="00E74E48"/>
    <w:rsid w:val="00E76116"/>
    <w:rsid w:val="00E76ABB"/>
    <w:rsid w:val="00E81155"/>
    <w:rsid w:val="00E8279D"/>
    <w:rsid w:val="00E83075"/>
    <w:rsid w:val="00E841C5"/>
    <w:rsid w:val="00E86325"/>
    <w:rsid w:val="00E86C63"/>
    <w:rsid w:val="00E90B46"/>
    <w:rsid w:val="00E91E38"/>
    <w:rsid w:val="00E96FFA"/>
    <w:rsid w:val="00EA0368"/>
    <w:rsid w:val="00EA04F1"/>
    <w:rsid w:val="00EA27EC"/>
    <w:rsid w:val="00EA29F9"/>
    <w:rsid w:val="00EA6132"/>
    <w:rsid w:val="00EB0579"/>
    <w:rsid w:val="00EB266A"/>
    <w:rsid w:val="00EB341D"/>
    <w:rsid w:val="00EB7100"/>
    <w:rsid w:val="00EB7D37"/>
    <w:rsid w:val="00EC24D2"/>
    <w:rsid w:val="00EC387F"/>
    <w:rsid w:val="00EC3D37"/>
    <w:rsid w:val="00EC607A"/>
    <w:rsid w:val="00EC645B"/>
    <w:rsid w:val="00ED0BFB"/>
    <w:rsid w:val="00ED1CB4"/>
    <w:rsid w:val="00ED2CD8"/>
    <w:rsid w:val="00ED2E96"/>
    <w:rsid w:val="00ED4B48"/>
    <w:rsid w:val="00ED7EBA"/>
    <w:rsid w:val="00EE069F"/>
    <w:rsid w:val="00EE20C9"/>
    <w:rsid w:val="00EE23DF"/>
    <w:rsid w:val="00EE26D6"/>
    <w:rsid w:val="00EE4473"/>
    <w:rsid w:val="00EE46D3"/>
    <w:rsid w:val="00EE4F04"/>
    <w:rsid w:val="00EE5BE6"/>
    <w:rsid w:val="00EF22A9"/>
    <w:rsid w:val="00EF4D9B"/>
    <w:rsid w:val="00EF4DC6"/>
    <w:rsid w:val="00EF530B"/>
    <w:rsid w:val="00EF6F95"/>
    <w:rsid w:val="00F02C65"/>
    <w:rsid w:val="00F03DA1"/>
    <w:rsid w:val="00F03E26"/>
    <w:rsid w:val="00F05A73"/>
    <w:rsid w:val="00F07B48"/>
    <w:rsid w:val="00F12282"/>
    <w:rsid w:val="00F13D9E"/>
    <w:rsid w:val="00F14630"/>
    <w:rsid w:val="00F21425"/>
    <w:rsid w:val="00F22071"/>
    <w:rsid w:val="00F221C1"/>
    <w:rsid w:val="00F25FEA"/>
    <w:rsid w:val="00F319F6"/>
    <w:rsid w:val="00F33749"/>
    <w:rsid w:val="00F34A76"/>
    <w:rsid w:val="00F3528F"/>
    <w:rsid w:val="00F408CB"/>
    <w:rsid w:val="00F428E2"/>
    <w:rsid w:val="00F42903"/>
    <w:rsid w:val="00F43512"/>
    <w:rsid w:val="00F4440C"/>
    <w:rsid w:val="00F501BB"/>
    <w:rsid w:val="00F50B27"/>
    <w:rsid w:val="00F52392"/>
    <w:rsid w:val="00F533DB"/>
    <w:rsid w:val="00F5403E"/>
    <w:rsid w:val="00F65418"/>
    <w:rsid w:val="00F6575C"/>
    <w:rsid w:val="00F66469"/>
    <w:rsid w:val="00F67079"/>
    <w:rsid w:val="00F67C02"/>
    <w:rsid w:val="00F7230C"/>
    <w:rsid w:val="00F738EF"/>
    <w:rsid w:val="00F75A4D"/>
    <w:rsid w:val="00F77A7D"/>
    <w:rsid w:val="00F811BB"/>
    <w:rsid w:val="00F82F09"/>
    <w:rsid w:val="00F871AC"/>
    <w:rsid w:val="00F8757A"/>
    <w:rsid w:val="00F90623"/>
    <w:rsid w:val="00F91C30"/>
    <w:rsid w:val="00F91D44"/>
    <w:rsid w:val="00F92353"/>
    <w:rsid w:val="00F93B2E"/>
    <w:rsid w:val="00F97479"/>
    <w:rsid w:val="00F97923"/>
    <w:rsid w:val="00FA55D5"/>
    <w:rsid w:val="00FB174A"/>
    <w:rsid w:val="00FB1DC7"/>
    <w:rsid w:val="00FB2344"/>
    <w:rsid w:val="00FB299B"/>
    <w:rsid w:val="00FB739E"/>
    <w:rsid w:val="00FB73FA"/>
    <w:rsid w:val="00FC10E8"/>
    <w:rsid w:val="00FC11B8"/>
    <w:rsid w:val="00FC3F52"/>
    <w:rsid w:val="00FD26AE"/>
    <w:rsid w:val="00FD2860"/>
    <w:rsid w:val="00FE1A92"/>
    <w:rsid w:val="00FE5228"/>
    <w:rsid w:val="00FE57D9"/>
    <w:rsid w:val="00FF120C"/>
    <w:rsid w:val="00FF277D"/>
    <w:rsid w:val="00FF4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081022"/>
    <w:pPr>
      <w:spacing w:after="200" w:line="276" w:lineRule="auto"/>
    </w:pPr>
    <w:rPr>
      <w:sz w:val="22"/>
      <w:szCs w:val="22"/>
      <w:lang w:eastAsia="en-US"/>
    </w:rPr>
  </w:style>
  <w:style w:type="paragraph" w:styleId="Nagwek1">
    <w:name w:val="heading 1"/>
    <w:basedOn w:val="Normalny"/>
    <w:next w:val="Normalny"/>
    <w:link w:val="Nagwek1Znak"/>
    <w:uiPriority w:val="9"/>
    <w:qFormat/>
    <w:rsid w:val="00423199"/>
    <w:pPr>
      <w:keepNext/>
      <w:keepLines/>
      <w:spacing w:before="480" w:after="0" w:line="240" w:lineRule="auto"/>
      <w:jc w:val="both"/>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7A13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7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5146"/>
  </w:style>
  <w:style w:type="paragraph" w:styleId="Stopka">
    <w:name w:val="footer"/>
    <w:basedOn w:val="Normalny"/>
    <w:link w:val="StopkaZnak"/>
    <w:uiPriority w:val="99"/>
    <w:unhideWhenUsed/>
    <w:rsid w:val="00B7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5146"/>
  </w:style>
  <w:style w:type="paragraph" w:styleId="Tekstdymka">
    <w:name w:val="Balloon Text"/>
    <w:basedOn w:val="Normalny"/>
    <w:link w:val="TekstdymkaZnak"/>
    <w:uiPriority w:val="99"/>
    <w:semiHidden/>
    <w:unhideWhenUsed/>
    <w:rsid w:val="00B7514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75146"/>
    <w:rPr>
      <w:rFonts w:ascii="Tahoma" w:hAnsi="Tahoma" w:cs="Tahoma"/>
      <w:sz w:val="16"/>
      <w:szCs w:val="16"/>
    </w:rPr>
  </w:style>
  <w:style w:type="table" w:styleId="Tabela-Siatka">
    <w:name w:val="Table Grid"/>
    <w:basedOn w:val="Standardowy"/>
    <w:uiPriority w:val="39"/>
    <w:rsid w:val="00B7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830C6"/>
    <w:pPr>
      <w:ind w:left="720"/>
      <w:contextualSpacing/>
    </w:pPr>
  </w:style>
  <w:style w:type="paragraph" w:styleId="Tekstprzypisukocowego">
    <w:name w:val="endnote text"/>
    <w:basedOn w:val="Normalny"/>
    <w:link w:val="TekstprzypisukocowegoZnak"/>
    <w:uiPriority w:val="99"/>
    <w:semiHidden/>
    <w:unhideWhenUsed/>
    <w:rsid w:val="006329CC"/>
    <w:pPr>
      <w:spacing w:after="0" w:line="240" w:lineRule="auto"/>
    </w:pPr>
    <w:rPr>
      <w:sz w:val="20"/>
      <w:szCs w:val="20"/>
    </w:rPr>
  </w:style>
  <w:style w:type="character" w:customStyle="1" w:styleId="TekstprzypisukocowegoZnak">
    <w:name w:val="Tekst przypisu końcowego Znak"/>
    <w:link w:val="Tekstprzypisukocowego"/>
    <w:uiPriority w:val="99"/>
    <w:semiHidden/>
    <w:rsid w:val="006329CC"/>
    <w:rPr>
      <w:sz w:val="20"/>
      <w:szCs w:val="20"/>
    </w:rPr>
  </w:style>
  <w:style w:type="character" w:styleId="Odwoanieprzypisukocowego">
    <w:name w:val="endnote reference"/>
    <w:uiPriority w:val="99"/>
    <w:semiHidden/>
    <w:unhideWhenUsed/>
    <w:rsid w:val="006329CC"/>
    <w:rPr>
      <w:vertAlign w:val="superscript"/>
    </w:rPr>
  </w:style>
  <w:style w:type="character" w:styleId="Hipercze">
    <w:name w:val="Hyperlink"/>
    <w:uiPriority w:val="99"/>
    <w:unhideWhenUsed/>
    <w:rsid w:val="00F14630"/>
    <w:rPr>
      <w:color w:val="0000FF"/>
      <w:u w:val="single"/>
    </w:rPr>
  </w:style>
  <w:style w:type="paragraph" w:styleId="Tekstprzypisudolnego">
    <w:name w:val="footnote text"/>
    <w:basedOn w:val="Normalny"/>
    <w:link w:val="TekstprzypisudolnegoZnak"/>
    <w:uiPriority w:val="99"/>
    <w:semiHidden/>
    <w:unhideWhenUsed/>
    <w:rsid w:val="005463A5"/>
    <w:pPr>
      <w:spacing w:after="0" w:line="240" w:lineRule="auto"/>
    </w:pPr>
    <w:rPr>
      <w:sz w:val="20"/>
      <w:szCs w:val="20"/>
    </w:rPr>
  </w:style>
  <w:style w:type="character" w:customStyle="1" w:styleId="TekstprzypisudolnegoZnak">
    <w:name w:val="Tekst przypisu dolnego Znak"/>
    <w:link w:val="Tekstprzypisudolnego"/>
    <w:uiPriority w:val="99"/>
    <w:semiHidden/>
    <w:rsid w:val="005463A5"/>
    <w:rPr>
      <w:sz w:val="20"/>
      <w:szCs w:val="20"/>
    </w:rPr>
  </w:style>
  <w:style w:type="character" w:styleId="Odwoanieprzypisudolnego">
    <w:name w:val="footnote reference"/>
    <w:uiPriority w:val="99"/>
    <w:semiHidden/>
    <w:unhideWhenUsed/>
    <w:rsid w:val="005463A5"/>
    <w:rPr>
      <w:vertAlign w:val="superscript"/>
    </w:rPr>
  </w:style>
  <w:style w:type="character" w:styleId="Odwoaniedokomentarza">
    <w:name w:val="annotation reference"/>
    <w:unhideWhenUsed/>
    <w:rsid w:val="00DB6704"/>
    <w:rPr>
      <w:sz w:val="16"/>
      <w:szCs w:val="16"/>
    </w:rPr>
  </w:style>
  <w:style w:type="paragraph" w:styleId="Tekstkomentarza">
    <w:name w:val="annotation text"/>
    <w:basedOn w:val="Normalny"/>
    <w:link w:val="TekstkomentarzaZnak"/>
    <w:uiPriority w:val="99"/>
    <w:semiHidden/>
    <w:unhideWhenUsed/>
    <w:rsid w:val="00DB6704"/>
    <w:pPr>
      <w:spacing w:line="240" w:lineRule="auto"/>
    </w:pPr>
    <w:rPr>
      <w:sz w:val="20"/>
      <w:szCs w:val="20"/>
    </w:rPr>
  </w:style>
  <w:style w:type="character" w:customStyle="1" w:styleId="TekstkomentarzaZnak">
    <w:name w:val="Tekst komentarza Znak"/>
    <w:link w:val="Tekstkomentarza"/>
    <w:uiPriority w:val="99"/>
    <w:semiHidden/>
    <w:rsid w:val="00DB6704"/>
    <w:rPr>
      <w:sz w:val="20"/>
      <w:szCs w:val="20"/>
    </w:rPr>
  </w:style>
  <w:style w:type="paragraph" w:styleId="Tematkomentarza">
    <w:name w:val="annotation subject"/>
    <w:basedOn w:val="Tekstkomentarza"/>
    <w:next w:val="Tekstkomentarza"/>
    <w:link w:val="TematkomentarzaZnak"/>
    <w:uiPriority w:val="99"/>
    <w:semiHidden/>
    <w:unhideWhenUsed/>
    <w:rsid w:val="00DB6704"/>
    <w:rPr>
      <w:b/>
      <w:bCs/>
    </w:rPr>
  </w:style>
  <w:style w:type="character" w:customStyle="1" w:styleId="TematkomentarzaZnak">
    <w:name w:val="Temat komentarza Znak"/>
    <w:link w:val="Tematkomentarza"/>
    <w:uiPriority w:val="99"/>
    <w:semiHidden/>
    <w:rsid w:val="00DB6704"/>
    <w:rPr>
      <w:b/>
      <w:bCs/>
      <w:sz w:val="20"/>
      <w:szCs w:val="20"/>
    </w:rPr>
  </w:style>
  <w:style w:type="character" w:customStyle="1" w:styleId="Nagwek1Znak">
    <w:name w:val="Nagłówek 1 Znak"/>
    <w:basedOn w:val="Domylnaczcionkaakapitu"/>
    <w:link w:val="Nagwek1"/>
    <w:uiPriority w:val="9"/>
    <w:rsid w:val="00423199"/>
    <w:rPr>
      <w:rFonts w:asciiTheme="majorHAnsi" w:eastAsiaTheme="majorEastAsia" w:hAnsiTheme="majorHAnsi" w:cstheme="majorBidi"/>
      <w:b/>
      <w:bCs/>
      <w:sz w:val="28"/>
      <w:szCs w:val="28"/>
      <w:lang w:eastAsia="en-US"/>
    </w:rPr>
  </w:style>
  <w:style w:type="paragraph" w:styleId="Nagwekspisutreci">
    <w:name w:val="TOC Heading"/>
    <w:basedOn w:val="Nagwek1"/>
    <w:next w:val="Normalny"/>
    <w:uiPriority w:val="39"/>
    <w:unhideWhenUsed/>
    <w:qFormat/>
    <w:rsid w:val="00423199"/>
    <w:pPr>
      <w:spacing w:line="276" w:lineRule="auto"/>
      <w:jc w:val="left"/>
      <w:outlineLvl w:val="9"/>
    </w:pPr>
  </w:style>
  <w:style w:type="paragraph" w:styleId="Spistreci1">
    <w:name w:val="toc 1"/>
    <w:basedOn w:val="Normalny"/>
    <w:next w:val="Normalny"/>
    <w:autoRedefine/>
    <w:uiPriority w:val="39"/>
    <w:unhideWhenUsed/>
    <w:qFormat/>
    <w:rsid w:val="00423199"/>
    <w:pPr>
      <w:tabs>
        <w:tab w:val="left" w:pos="426"/>
        <w:tab w:val="right" w:leader="dot" w:pos="9060"/>
      </w:tabs>
      <w:spacing w:after="100"/>
    </w:pPr>
    <w:rPr>
      <w:rFonts w:asciiTheme="minorHAnsi" w:eastAsiaTheme="minorEastAsia" w:hAnsiTheme="minorHAnsi" w:cstheme="minorBidi"/>
    </w:rPr>
  </w:style>
  <w:style w:type="table" w:customStyle="1" w:styleId="Tabela-Siatka2">
    <w:name w:val="Tabela - Siatka2"/>
    <w:basedOn w:val="Standardowy"/>
    <w:uiPriority w:val="59"/>
    <w:rsid w:val="004576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7A1333"/>
    <w:rPr>
      <w:rFonts w:asciiTheme="majorHAnsi" w:eastAsiaTheme="majorEastAsia" w:hAnsiTheme="majorHAnsi" w:cstheme="majorBidi"/>
      <w:b/>
      <w:bCs/>
      <w:color w:val="4F81BD" w:themeColor="accent1"/>
      <w:sz w:val="26"/>
      <w:szCs w:val="26"/>
      <w:lang w:eastAsia="en-US"/>
    </w:rPr>
  </w:style>
  <w:style w:type="paragraph" w:styleId="Spistreci2">
    <w:name w:val="toc 2"/>
    <w:basedOn w:val="Normalny"/>
    <w:next w:val="Normalny"/>
    <w:autoRedefine/>
    <w:uiPriority w:val="39"/>
    <w:unhideWhenUsed/>
    <w:rsid w:val="0029196A"/>
    <w:pPr>
      <w:spacing w:after="100"/>
      <w:ind w:left="220"/>
    </w:pPr>
  </w:style>
  <w:style w:type="character" w:styleId="Tekstzastpczy">
    <w:name w:val="Placeholder Text"/>
    <w:basedOn w:val="Domylnaczcionkaakapitu"/>
    <w:uiPriority w:val="99"/>
    <w:semiHidden/>
    <w:rsid w:val="005B4234"/>
    <w:rPr>
      <w:color w:val="808080"/>
    </w:rPr>
  </w:style>
  <w:style w:type="paragraph" w:styleId="Tekstpodstawowy">
    <w:name w:val="Body Text"/>
    <w:basedOn w:val="Normalny"/>
    <w:link w:val="TekstpodstawowyZnak"/>
    <w:uiPriority w:val="99"/>
    <w:semiHidden/>
    <w:unhideWhenUsed/>
    <w:rsid w:val="00D11502"/>
    <w:pPr>
      <w:spacing w:after="120"/>
    </w:pPr>
  </w:style>
  <w:style w:type="character" w:customStyle="1" w:styleId="TekstpodstawowyZnak">
    <w:name w:val="Tekst podstawowy Znak"/>
    <w:basedOn w:val="Domylnaczcionkaakapitu"/>
    <w:link w:val="Tekstpodstawowy"/>
    <w:uiPriority w:val="99"/>
    <w:semiHidden/>
    <w:rsid w:val="00D11502"/>
    <w:rPr>
      <w:sz w:val="22"/>
      <w:szCs w:val="22"/>
      <w:lang w:eastAsia="en-US"/>
    </w:rPr>
  </w:style>
  <w:style w:type="paragraph" w:styleId="Poprawka">
    <w:name w:val="Revision"/>
    <w:hidden/>
    <w:uiPriority w:val="99"/>
    <w:semiHidden/>
    <w:rsid w:val="00D00F1E"/>
    <w:rPr>
      <w:sz w:val="22"/>
      <w:szCs w:val="22"/>
      <w:lang w:eastAsia="en-US"/>
    </w:rPr>
  </w:style>
  <w:style w:type="character" w:customStyle="1" w:styleId="apple-converted-space">
    <w:name w:val="apple-converted-space"/>
    <w:basedOn w:val="Domylnaczcionkaakapitu"/>
    <w:rsid w:val="00126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3592">
      <w:bodyDiv w:val="1"/>
      <w:marLeft w:val="0"/>
      <w:marRight w:val="0"/>
      <w:marTop w:val="0"/>
      <w:marBottom w:val="0"/>
      <w:divBdr>
        <w:top w:val="none" w:sz="0" w:space="0" w:color="auto"/>
        <w:left w:val="none" w:sz="0" w:space="0" w:color="auto"/>
        <w:bottom w:val="none" w:sz="0" w:space="0" w:color="auto"/>
        <w:right w:val="none" w:sz="0" w:space="0" w:color="auto"/>
      </w:divBdr>
      <w:divsChild>
        <w:div w:id="399058867">
          <w:marLeft w:val="0"/>
          <w:marRight w:val="0"/>
          <w:marTop w:val="0"/>
          <w:marBottom w:val="0"/>
          <w:divBdr>
            <w:top w:val="none" w:sz="0" w:space="0" w:color="auto"/>
            <w:left w:val="none" w:sz="0" w:space="0" w:color="auto"/>
            <w:bottom w:val="none" w:sz="0" w:space="0" w:color="auto"/>
            <w:right w:val="none" w:sz="0" w:space="0" w:color="auto"/>
          </w:divBdr>
        </w:div>
        <w:div w:id="264464602">
          <w:marLeft w:val="0"/>
          <w:marRight w:val="0"/>
          <w:marTop w:val="0"/>
          <w:marBottom w:val="0"/>
          <w:divBdr>
            <w:top w:val="none" w:sz="0" w:space="0" w:color="auto"/>
            <w:left w:val="none" w:sz="0" w:space="0" w:color="auto"/>
            <w:bottom w:val="none" w:sz="0" w:space="0" w:color="auto"/>
            <w:right w:val="none" w:sz="0" w:space="0" w:color="auto"/>
          </w:divBdr>
        </w:div>
      </w:divsChild>
    </w:div>
    <w:div w:id="137963750">
      <w:bodyDiv w:val="1"/>
      <w:marLeft w:val="0"/>
      <w:marRight w:val="0"/>
      <w:marTop w:val="0"/>
      <w:marBottom w:val="0"/>
      <w:divBdr>
        <w:top w:val="none" w:sz="0" w:space="0" w:color="auto"/>
        <w:left w:val="none" w:sz="0" w:space="0" w:color="auto"/>
        <w:bottom w:val="none" w:sz="0" w:space="0" w:color="auto"/>
        <w:right w:val="none" w:sz="0" w:space="0" w:color="auto"/>
      </w:divBdr>
      <w:divsChild>
        <w:div w:id="1880243892">
          <w:marLeft w:val="0"/>
          <w:marRight w:val="0"/>
          <w:marTop w:val="0"/>
          <w:marBottom w:val="0"/>
          <w:divBdr>
            <w:top w:val="none" w:sz="0" w:space="0" w:color="auto"/>
            <w:left w:val="none" w:sz="0" w:space="0" w:color="auto"/>
            <w:bottom w:val="none" w:sz="0" w:space="0" w:color="auto"/>
            <w:right w:val="none" w:sz="0" w:space="0" w:color="auto"/>
          </w:divBdr>
        </w:div>
        <w:div w:id="278873617">
          <w:marLeft w:val="0"/>
          <w:marRight w:val="0"/>
          <w:marTop w:val="0"/>
          <w:marBottom w:val="0"/>
          <w:divBdr>
            <w:top w:val="none" w:sz="0" w:space="0" w:color="auto"/>
            <w:left w:val="none" w:sz="0" w:space="0" w:color="auto"/>
            <w:bottom w:val="none" w:sz="0" w:space="0" w:color="auto"/>
            <w:right w:val="none" w:sz="0" w:space="0" w:color="auto"/>
          </w:divBdr>
        </w:div>
        <w:div w:id="155808062">
          <w:marLeft w:val="0"/>
          <w:marRight w:val="0"/>
          <w:marTop w:val="0"/>
          <w:marBottom w:val="0"/>
          <w:divBdr>
            <w:top w:val="none" w:sz="0" w:space="0" w:color="auto"/>
            <w:left w:val="none" w:sz="0" w:space="0" w:color="auto"/>
            <w:bottom w:val="none" w:sz="0" w:space="0" w:color="auto"/>
            <w:right w:val="none" w:sz="0" w:space="0" w:color="auto"/>
          </w:divBdr>
        </w:div>
        <w:div w:id="103379713">
          <w:marLeft w:val="0"/>
          <w:marRight w:val="0"/>
          <w:marTop w:val="0"/>
          <w:marBottom w:val="0"/>
          <w:divBdr>
            <w:top w:val="none" w:sz="0" w:space="0" w:color="auto"/>
            <w:left w:val="none" w:sz="0" w:space="0" w:color="auto"/>
            <w:bottom w:val="none" w:sz="0" w:space="0" w:color="auto"/>
            <w:right w:val="none" w:sz="0" w:space="0" w:color="auto"/>
          </w:divBdr>
        </w:div>
      </w:divsChild>
    </w:div>
    <w:div w:id="183717484">
      <w:bodyDiv w:val="1"/>
      <w:marLeft w:val="0"/>
      <w:marRight w:val="0"/>
      <w:marTop w:val="0"/>
      <w:marBottom w:val="0"/>
      <w:divBdr>
        <w:top w:val="none" w:sz="0" w:space="0" w:color="auto"/>
        <w:left w:val="none" w:sz="0" w:space="0" w:color="auto"/>
        <w:bottom w:val="none" w:sz="0" w:space="0" w:color="auto"/>
        <w:right w:val="none" w:sz="0" w:space="0" w:color="auto"/>
      </w:divBdr>
      <w:divsChild>
        <w:div w:id="1956331334">
          <w:marLeft w:val="0"/>
          <w:marRight w:val="0"/>
          <w:marTop w:val="0"/>
          <w:marBottom w:val="0"/>
          <w:divBdr>
            <w:top w:val="none" w:sz="0" w:space="0" w:color="auto"/>
            <w:left w:val="none" w:sz="0" w:space="0" w:color="auto"/>
            <w:bottom w:val="none" w:sz="0" w:space="0" w:color="auto"/>
            <w:right w:val="none" w:sz="0" w:space="0" w:color="auto"/>
          </w:divBdr>
          <w:divsChild>
            <w:div w:id="1246496935">
              <w:marLeft w:val="150"/>
              <w:marRight w:val="0"/>
              <w:marTop w:val="0"/>
              <w:marBottom w:val="0"/>
              <w:divBdr>
                <w:top w:val="none" w:sz="0" w:space="0" w:color="auto"/>
                <w:left w:val="none" w:sz="0" w:space="0" w:color="auto"/>
                <w:bottom w:val="none" w:sz="0" w:space="0" w:color="auto"/>
                <w:right w:val="none" w:sz="0" w:space="0" w:color="auto"/>
              </w:divBdr>
            </w:div>
          </w:divsChild>
        </w:div>
        <w:div w:id="2031449368">
          <w:marLeft w:val="0"/>
          <w:marRight w:val="0"/>
          <w:marTop w:val="0"/>
          <w:marBottom w:val="0"/>
          <w:divBdr>
            <w:top w:val="none" w:sz="0" w:space="0" w:color="auto"/>
            <w:left w:val="none" w:sz="0" w:space="0" w:color="auto"/>
            <w:bottom w:val="none" w:sz="0" w:space="0" w:color="auto"/>
            <w:right w:val="none" w:sz="0" w:space="0" w:color="auto"/>
          </w:divBdr>
          <w:divsChild>
            <w:div w:id="2134054313">
              <w:marLeft w:val="150"/>
              <w:marRight w:val="0"/>
              <w:marTop w:val="0"/>
              <w:marBottom w:val="0"/>
              <w:divBdr>
                <w:top w:val="none" w:sz="0" w:space="0" w:color="auto"/>
                <w:left w:val="none" w:sz="0" w:space="0" w:color="auto"/>
                <w:bottom w:val="none" w:sz="0" w:space="0" w:color="auto"/>
                <w:right w:val="none" w:sz="0" w:space="0" w:color="auto"/>
              </w:divBdr>
            </w:div>
          </w:divsChild>
        </w:div>
        <w:div w:id="730271719">
          <w:marLeft w:val="0"/>
          <w:marRight w:val="0"/>
          <w:marTop w:val="0"/>
          <w:marBottom w:val="0"/>
          <w:divBdr>
            <w:top w:val="none" w:sz="0" w:space="0" w:color="auto"/>
            <w:left w:val="none" w:sz="0" w:space="0" w:color="auto"/>
            <w:bottom w:val="none" w:sz="0" w:space="0" w:color="auto"/>
            <w:right w:val="none" w:sz="0" w:space="0" w:color="auto"/>
          </w:divBdr>
          <w:divsChild>
            <w:div w:id="938684854">
              <w:marLeft w:val="150"/>
              <w:marRight w:val="0"/>
              <w:marTop w:val="0"/>
              <w:marBottom w:val="0"/>
              <w:divBdr>
                <w:top w:val="none" w:sz="0" w:space="0" w:color="auto"/>
                <w:left w:val="none" w:sz="0" w:space="0" w:color="auto"/>
                <w:bottom w:val="none" w:sz="0" w:space="0" w:color="auto"/>
                <w:right w:val="none" w:sz="0" w:space="0" w:color="auto"/>
              </w:divBdr>
            </w:div>
          </w:divsChild>
        </w:div>
        <w:div w:id="1001353583">
          <w:marLeft w:val="0"/>
          <w:marRight w:val="0"/>
          <w:marTop w:val="0"/>
          <w:marBottom w:val="0"/>
          <w:divBdr>
            <w:top w:val="none" w:sz="0" w:space="0" w:color="auto"/>
            <w:left w:val="none" w:sz="0" w:space="0" w:color="auto"/>
            <w:bottom w:val="none" w:sz="0" w:space="0" w:color="auto"/>
            <w:right w:val="none" w:sz="0" w:space="0" w:color="auto"/>
          </w:divBdr>
          <w:divsChild>
            <w:div w:id="611866742">
              <w:marLeft w:val="150"/>
              <w:marRight w:val="0"/>
              <w:marTop w:val="0"/>
              <w:marBottom w:val="0"/>
              <w:divBdr>
                <w:top w:val="none" w:sz="0" w:space="0" w:color="auto"/>
                <w:left w:val="none" w:sz="0" w:space="0" w:color="auto"/>
                <w:bottom w:val="none" w:sz="0" w:space="0" w:color="auto"/>
                <w:right w:val="none" w:sz="0" w:space="0" w:color="auto"/>
              </w:divBdr>
            </w:div>
          </w:divsChild>
        </w:div>
        <w:div w:id="534464417">
          <w:marLeft w:val="0"/>
          <w:marRight w:val="0"/>
          <w:marTop w:val="0"/>
          <w:marBottom w:val="0"/>
          <w:divBdr>
            <w:top w:val="none" w:sz="0" w:space="0" w:color="auto"/>
            <w:left w:val="none" w:sz="0" w:space="0" w:color="auto"/>
            <w:bottom w:val="none" w:sz="0" w:space="0" w:color="auto"/>
            <w:right w:val="none" w:sz="0" w:space="0" w:color="auto"/>
          </w:divBdr>
          <w:divsChild>
            <w:div w:id="14828917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2353992">
      <w:bodyDiv w:val="1"/>
      <w:marLeft w:val="0"/>
      <w:marRight w:val="0"/>
      <w:marTop w:val="0"/>
      <w:marBottom w:val="0"/>
      <w:divBdr>
        <w:top w:val="none" w:sz="0" w:space="0" w:color="auto"/>
        <w:left w:val="none" w:sz="0" w:space="0" w:color="auto"/>
        <w:bottom w:val="none" w:sz="0" w:space="0" w:color="auto"/>
        <w:right w:val="none" w:sz="0" w:space="0" w:color="auto"/>
      </w:divBdr>
    </w:div>
    <w:div w:id="307514309">
      <w:bodyDiv w:val="1"/>
      <w:marLeft w:val="0"/>
      <w:marRight w:val="0"/>
      <w:marTop w:val="0"/>
      <w:marBottom w:val="0"/>
      <w:divBdr>
        <w:top w:val="none" w:sz="0" w:space="0" w:color="auto"/>
        <w:left w:val="none" w:sz="0" w:space="0" w:color="auto"/>
        <w:bottom w:val="none" w:sz="0" w:space="0" w:color="auto"/>
        <w:right w:val="none" w:sz="0" w:space="0" w:color="auto"/>
      </w:divBdr>
      <w:divsChild>
        <w:div w:id="2088727356">
          <w:marLeft w:val="0"/>
          <w:marRight w:val="0"/>
          <w:marTop w:val="0"/>
          <w:marBottom w:val="0"/>
          <w:divBdr>
            <w:top w:val="none" w:sz="0" w:space="0" w:color="auto"/>
            <w:left w:val="none" w:sz="0" w:space="0" w:color="auto"/>
            <w:bottom w:val="none" w:sz="0" w:space="0" w:color="auto"/>
            <w:right w:val="none" w:sz="0" w:space="0" w:color="auto"/>
          </w:divBdr>
        </w:div>
        <w:div w:id="1713194096">
          <w:marLeft w:val="0"/>
          <w:marRight w:val="0"/>
          <w:marTop w:val="0"/>
          <w:marBottom w:val="0"/>
          <w:divBdr>
            <w:top w:val="none" w:sz="0" w:space="0" w:color="auto"/>
            <w:left w:val="none" w:sz="0" w:space="0" w:color="auto"/>
            <w:bottom w:val="none" w:sz="0" w:space="0" w:color="auto"/>
            <w:right w:val="none" w:sz="0" w:space="0" w:color="auto"/>
          </w:divBdr>
        </w:div>
      </w:divsChild>
    </w:div>
    <w:div w:id="663051350">
      <w:bodyDiv w:val="1"/>
      <w:marLeft w:val="0"/>
      <w:marRight w:val="0"/>
      <w:marTop w:val="0"/>
      <w:marBottom w:val="0"/>
      <w:divBdr>
        <w:top w:val="none" w:sz="0" w:space="0" w:color="auto"/>
        <w:left w:val="none" w:sz="0" w:space="0" w:color="auto"/>
        <w:bottom w:val="none" w:sz="0" w:space="0" w:color="auto"/>
        <w:right w:val="none" w:sz="0" w:space="0" w:color="auto"/>
      </w:divBdr>
    </w:div>
    <w:div w:id="697194247">
      <w:bodyDiv w:val="1"/>
      <w:marLeft w:val="0"/>
      <w:marRight w:val="0"/>
      <w:marTop w:val="0"/>
      <w:marBottom w:val="0"/>
      <w:divBdr>
        <w:top w:val="none" w:sz="0" w:space="0" w:color="auto"/>
        <w:left w:val="none" w:sz="0" w:space="0" w:color="auto"/>
        <w:bottom w:val="none" w:sz="0" w:space="0" w:color="auto"/>
        <w:right w:val="none" w:sz="0" w:space="0" w:color="auto"/>
      </w:divBdr>
      <w:divsChild>
        <w:div w:id="981277999">
          <w:marLeft w:val="0"/>
          <w:marRight w:val="0"/>
          <w:marTop w:val="0"/>
          <w:marBottom w:val="0"/>
          <w:divBdr>
            <w:top w:val="none" w:sz="0" w:space="0" w:color="auto"/>
            <w:left w:val="none" w:sz="0" w:space="0" w:color="auto"/>
            <w:bottom w:val="none" w:sz="0" w:space="0" w:color="auto"/>
            <w:right w:val="none" w:sz="0" w:space="0" w:color="auto"/>
          </w:divBdr>
          <w:divsChild>
            <w:div w:id="2107726799">
              <w:marLeft w:val="150"/>
              <w:marRight w:val="0"/>
              <w:marTop w:val="0"/>
              <w:marBottom w:val="0"/>
              <w:divBdr>
                <w:top w:val="none" w:sz="0" w:space="0" w:color="auto"/>
                <w:left w:val="none" w:sz="0" w:space="0" w:color="auto"/>
                <w:bottom w:val="none" w:sz="0" w:space="0" w:color="auto"/>
                <w:right w:val="none" w:sz="0" w:space="0" w:color="auto"/>
              </w:divBdr>
            </w:div>
          </w:divsChild>
        </w:div>
        <w:div w:id="1638533577">
          <w:marLeft w:val="0"/>
          <w:marRight w:val="0"/>
          <w:marTop w:val="0"/>
          <w:marBottom w:val="0"/>
          <w:divBdr>
            <w:top w:val="none" w:sz="0" w:space="0" w:color="auto"/>
            <w:left w:val="none" w:sz="0" w:space="0" w:color="auto"/>
            <w:bottom w:val="none" w:sz="0" w:space="0" w:color="auto"/>
            <w:right w:val="none" w:sz="0" w:space="0" w:color="auto"/>
          </w:divBdr>
          <w:divsChild>
            <w:div w:id="824278050">
              <w:marLeft w:val="150"/>
              <w:marRight w:val="0"/>
              <w:marTop w:val="0"/>
              <w:marBottom w:val="0"/>
              <w:divBdr>
                <w:top w:val="none" w:sz="0" w:space="0" w:color="auto"/>
                <w:left w:val="none" w:sz="0" w:space="0" w:color="auto"/>
                <w:bottom w:val="none" w:sz="0" w:space="0" w:color="auto"/>
                <w:right w:val="none" w:sz="0" w:space="0" w:color="auto"/>
              </w:divBdr>
            </w:div>
          </w:divsChild>
        </w:div>
        <w:div w:id="1112826610">
          <w:marLeft w:val="0"/>
          <w:marRight w:val="0"/>
          <w:marTop w:val="0"/>
          <w:marBottom w:val="0"/>
          <w:divBdr>
            <w:top w:val="none" w:sz="0" w:space="0" w:color="auto"/>
            <w:left w:val="none" w:sz="0" w:space="0" w:color="auto"/>
            <w:bottom w:val="none" w:sz="0" w:space="0" w:color="auto"/>
            <w:right w:val="none" w:sz="0" w:space="0" w:color="auto"/>
          </w:divBdr>
          <w:divsChild>
            <w:div w:id="1739135196">
              <w:marLeft w:val="150"/>
              <w:marRight w:val="0"/>
              <w:marTop w:val="0"/>
              <w:marBottom w:val="0"/>
              <w:divBdr>
                <w:top w:val="none" w:sz="0" w:space="0" w:color="auto"/>
                <w:left w:val="none" w:sz="0" w:space="0" w:color="auto"/>
                <w:bottom w:val="none" w:sz="0" w:space="0" w:color="auto"/>
                <w:right w:val="none" w:sz="0" w:space="0" w:color="auto"/>
              </w:divBdr>
            </w:div>
          </w:divsChild>
        </w:div>
        <w:div w:id="1404910290">
          <w:marLeft w:val="0"/>
          <w:marRight w:val="0"/>
          <w:marTop w:val="0"/>
          <w:marBottom w:val="0"/>
          <w:divBdr>
            <w:top w:val="none" w:sz="0" w:space="0" w:color="auto"/>
            <w:left w:val="none" w:sz="0" w:space="0" w:color="auto"/>
            <w:bottom w:val="none" w:sz="0" w:space="0" w:color="auto"/>
            <w:right w:val="none" w:sz="0" w:space="0" w:color="auto"/>
          </w:divBdr>
          <w:divsChild>
            <w:div w:id="283469430">
              <w:marLeft w:val="150"/>
              <w:marRight w:val="0"/>
              <w:marTop w:val="0"/>
              <w:marBottom w:val="0"/>
              <w:divBdr>
                <w:top w:val="none" w:sz="0" w:space="0" w:color="auto"/>
                <w:left w:val="none" w:sz="0" w:space="0" w:color="auto"/>
                <w:bottom w:val="none" w:sz="0" w:space="0" w:color="auto"/>
                <w:right w:val="none" w:sz="0" w:space="0" w:color="auto"/>
              </w:divBdr>
            </w:div>
          </w:divsChild>
        </w:div>
        <w:div w:id="875969304">
          <w:marLeft w:val="0"/>
          <w:marRight w:val="0"/>
          <w:marTop w:val="0"/>
          <w:marBottom w:val="0"/>
          <w:divBdr>
            <w:top w:val="none" w:sz="0" w:space="0" w:color="auto"/>
            <w:left w:val="none" w:sz="0" w:space="0" w:color="auto"/>
            <w:bottom w:val="none" w:sz="0" w:space="0" w:color="auto"/>
            <w:right w:val="none" w:sz="0" w:space="0" w:color="auto"/>
          </w:divBdr>
          <w:divsChild>
            <w:div w:id="683214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6915863">
      <w:bodyDiv w:val="1"/>
      <w:marLeft w:val="0"/>
      <w:marRight w:val="0"/>
      <w:marTop w:val="0"/>
      <w:marBottom w:val="0"/>
      <w:divBdr>
        <w:top w:val="none" w:sz="0" w:space="0" w:color="auto"/>
        <w:left w:val="none" w:sz="0" w:space="0" w:color="auto"/>
        <w:bottom w:val="none" w:sz="0" w:space="0" w:color="auto"/>
        <w:right w:val="none" w:sz="0" w:space="0" w:color="auto"/>
      </w:divBdr>
      <w:divsChild>
        <w:div w:id="99032994">
          <w:marLeft w:val="0"/>
          <w:marRight w:val="0"/>
          <w:marTop w:val="0"/>
          <w:marBottom w:val="0"/>
          <w:divBdr>
            <w:top w:val="none" w:sz="0" w:space="0" w:color="auto"/>
            <w:left w:val="none" w:sz="0" w:space="0" w:color="auto"/>
            <w:bottom w:val="none" w:sz="0" w:space="0" w:color="auto"/>
            <w:right w:val="none" w:sz="0" w:space="0" w:color="auto"/>
          </w:divBdr>
          <w:divsChild>
            <w:div w:id="571694050">
              <w:marLeft w:val="150"/>
              <w:marRight w:val="0"/>
              <w:marTop w:val="0"/>
              <w:marBottom w:val="0"/>
              <w:divBdr>
                <w:top w:val="none" w:sz="0" w:space="0" w:color="auto"/>
                <w:left w:val="none" w:sz="0" w:space="0" w:color="auto"/>
                <w:bottom w:val="none" w:sz="0" w:space="0" w:color="auto"/>
                <w:right w:val="none" w:sz="0" w:space="0" w:color="auto"/>
              </w:divBdr>
            </w:div>
          </w:divsChild>
        </w:div>
        <w:div w:id="1727219646">
          <w:marLeft w:val="0"/>
          <w:marRight w:val="0"/>
          <w:marTop w:val="0"/>
          <w:marBottom w:val="0"/>
          <w:divBdr>
            <w:top w:val="none" w:sz="0" w:space="0" w:color="auto"/>
            <w:left w:val="none" w:sz="0" w:space="0" w:color="auto"/>
            <w:bottom w:val="none" w:sz="0" w:space="0" w:color="auto"/>
            <w:right w:val="none" w:sz="0" w:space="0" w:color="auto"/>
          </w:divBdr>
          <w:divsChild>
            <w:div w:id="739131466">
              <w:marLeft w:val="150"/>
              <w:marRight w:val="0"/>
              <w:marTop w:val="0"/>
              <w:marBottom w:val="0"/>
              <w:divBdr>
                <w:top w:val="none" w:sz="0" w:space="0" w:color="auto"/>
                <w:left w:val="none" w:sz="0" w:space="0" w:color="auto"/>
                <w:bottom w:val="none" w:sz="0" w:space="0" w:color="auto"/>
                <w:right w:val="none" w:sz="0" w:space="0" w:color="auto"/>
              </w:divBdr>
            </w:div>
          </w:divsChild>
        </w:div>
        <w:div w:id="792094180">
          <w:marLeft w:val="0"/>
          <w:marRight w:val="0"/>
          <w:marTop w:val="0"/>
          <w:marBottom w:val="0"/>
          <w:divBdr>
            <w:top w:val="none" w:sz="0" w:space="0" w:color="auto"/>
            <w:left w:val="none" w:sz="0" w:space="0" w:color="auto"/>
            <w:bottom w:val="none" w:sz="0" w:space="0" w:color="auto"/>
            <w:right w:val="none" w:sz="0" w:space="0" w:color="auto"/>
          </w:divBdr>
          <w:divsChild>
            <w:div w:id="1356032579">
              <w:marLeft w:val="150"/>
              <w:marRight w:val="0"/>
              <w:marTop w:val="0"/>
              <w:marBottom w:val="0"/>
              <w:divBdr>
                <w:top w:val="none" w:sz="0" w:space="0" w:color="auto"/>
                <w:left w:val="none" w:sz="0" w:space="0" w:color="auto"/>
                <w:bottom w:val="none" w:sz="0" w:space="0" w:color="auto"/>
                <w:right w:val="none" w:sz="0" w:space="0" w:color="auto"/>
              </w:divBdr>
            </w:div>
          </w:divsChild>
        </w:div>
        <w:div w:id="676074190">
          <w:marLeft w:val="0"/>
          <w:marRight w:val="0"/>
          <w:marTop w:val="0"/>
          <w:marBottom w:val="0"/>
          <w:divBdr>
            <w:top w:val="none" w:sz="0" w:space="0" w:color="auto"/>
            <w:left w:val="none" w:sz="0" w:space="0" w:color="auto"/>
            <w:bottom w:val="none" w:sz="0" w:space="0" w:color="auto"/>
            <w:right w:val="none" w:sz="0" w:space="0" w:color="auto"/>
          </w:divBdr>
          <w:divsChild>
            <w:div w:id="2055883188">
              <w:marLeft w:val="150"/>
              <w:marRight w:val="0"/>
              <w:marTop w:val="0"/>
              <w:marBottom w:val="0"/>
              <w:divBdr>
                <w:top w:val="none" w:sz="0" w:space="0" w:color="auto"/>
                <w:left w:val="none" w:sz="0" w:space="0" w:color="auto"/>
                <w:bottom w:val="none" w:sz="0" w:space="0" w:color="auto"/>
                <w:right w:val="none" w:sz="0" w:space="0" w:color="auto"/>
              </w:divBdr>
            </w:div>
          </w:divsChild>
        </w:div>
        <w:div w:id="1250776285">
          <w:marLeft w:val="0"/>
          <w:marRight w:val="0"/>
          <w:marTop w:val="0"/>
          <w:marBottom w:val="0"/>
          <w:divBdr>
            <w:top w:val="none" w:sz="0" w:space="0" w:color="auto"/>
            <w:left w:val="none" w:sz="0" w:space="0" w:color="auto"/>
            <w:bottom w:val="none" w:sz="0" w:space="0" w:color="auto"/>
            <w:right w:val="none" w:sz="0" w:space="0" w:color="auto"/>
          </w:divBdr>
          <w:divsChild>
            <w:div w:id="2120173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869745">
      <w:bodyDiv w:val="1"/>
      <w:marLeft w:val="0"/>
      <w:marRight w:val="0"/>
      <w:marTop w:val="0"/>
      <w:marBottom w:val="0"/>
      <w:divBdr>
        <w:top w:val="none" w:sz="0" w:space="0" w:color="auto"/>
        <w:left w:val="none" w:sz="0" w:space="0" w:color="auto"/>
        <w:bottom w:val="none" w:sz="0" w:space="0" w:color="auto"/>
        <w:right w:val="none" w:sz="0" w:space="0" w:color="auto"/>
      </w:divBdr>
      <w:divsChild>
        <w:div w:id="1666205309">
          <w:marLeft w:val="0"/>
          <w:marRight w:val="0"/>
          <w:marTop w:val="0"/>
          <w:marBottom w:val="0"/>
          <w:divBdr>
            <w:top w:val="none" w:sz="0" w:space="0" w:color="auto"/>
            <w:left w:val="none" w:sz="0" w:space="0" w:color="auto"/>
            <w:bottom w:val="none" w:sz="0" w:space="0" w:color="auto"/>
            <w:right w:val="none" w:sz="0" w:space="0" w:color="auto"/>
          </w:divBdr>
        </w:div>
        <w:div w:id="1280799353">
          <w:marLeft w:val="0"/>
          <w:marRight w:val="0"/>
          <w:marTop w:val="0"/>
          <w:marBottom w:val="0"/>
          <w:divBdr>
            <w:top w:val="none" w:sz="0" w:space="0" w:color="auto"/>
            <w:left w:val="none" w:sz="0" w:space="0" w:color="auto"/>
            <w:bottom w:val="none" w:sz="0" w:space="0" w:color="auto"/>
            <w:right w:val="none" w:sz="0" w:space="0" w:color="auto"/>
          </w:divBdr>
        </w:div>
      </w:divsChild>
    </w:div>
    <w:div w:id="938949703">
      <w:bodyDiv w:val="1"/>
      <w:marLeft w:val="0"/>
      <w:marRight w:val="0"/>
      <w:marTop w:val="0"/>
      <w:marBottom w:val="0"/>
      <w:divBdr>
        <w:top w:val="none" w:sz="0" w:space="0" w:color="auto"/>
        <w:left w:val="none" w:sz="0" w:space="0" w:color="auto"/>
        <w:bottom w:val="none" w:sz="0" w:space="0" w:color="auto"/>
        <w:right w:val="none" w:sz="0" w:space="0" w:color="auto"/>
      </w:divBdr>
    </w:div>
    <w:div w:id="984889516">
      <w:bodyDiv w:val="1"/>
      <w:marLeft w:val="0"/>
      <w:marRight w:val="0"/>
      <w:marTop w:val="0"/>
      <w:marBottom w:val="0"/>
      <w:divBdr>
        <w:top w:val="none" w:sz="0" w:space="0" w:color="auto"/>
        <w:left w:val="none" w:sz="0" w:space="0" w:color="auto"/>
        <w:bottom w:val="none" w:sz="0" w:space="0" w:color="auto"/>
        <w:right w:val="none" w:sz="0" w:space="0" w:color="auto"/>
      </w:divBdr>
      <w:divsChild>
        <w:div w:id="795946587">
          <w:marLeft w:val="0"/>
          <w:marRight w:val="0"/>
          <w:marTop w:val="0"/>
          <w:marBottom w:val="0"/>
          <w:divBdr>
            <w:top w:val="none" w:sz="0" w:space="0" w:color="auto"/>
            <w:left w:val="none" w:sz="0" w:space="0" w:color="auto"/>
            <w:bottom w:val="none" w:sz="0" w:space="0" w:color="auto"/>
            <w:right w:val="none" w:sz="0" w:space="0" w:color="auto"/>
          </w:divBdr>
        </w:div>
        <w:div w:id="1887989382">
          <w:marLeft w:val="0"/>
          <w:marRight w:val="0"/>
          <w:marTop w:val="0"/>
          <w:marBottom w:val="0"/>
          <w:divBdr>
            <w:top w:val="none" w:sz="0" w:space="0" w:color="auto"/>
            <w:left w:val="none" w:sz="0" w:space="0" w:color="auto"/>
            <w:bottom w:val="none" w:sz="0" w:space="0" w:color="auto"/>
            <w:right w:val="none" w:sz="0" w:space="0" w:color="auto"/>
          </w:divBdr>
        </w:div>
        <w:div w:id="1092896187">
          <w:marLeft w:val="0"/>
          <w:marRight w:val="0"/>
          <w:marTop w:val="0"/>
          <w:marBottom w:val="0"/>
          <w:divBdr>
            <w:top w:val="none" w:sz="0" w:space="0" w:color="auto"/>
            <w:left w:val="none" w:sz="0" w:space="0" w:color="auto"/>
            <w:bottom w:val="none" w:sz="0" w:space="0" w:color="auto"/>
            <w:right w:val="none" w:sz="0" w:space="0" w:color="auto"/>
          </w:divBdr>
        </w:div>
      </w:divsChild>
    </w:div>
    <w:div w:id="1039357857">
      <w:bodyDiv w:val="1"/>
      <w:marLeft w:val="0"/>
      <w:marRight w:val="0"/>
      <w:marTop w:val="0"/>
      <w:marBottom w:val="0"/>
      <w:divBdr>
        <w:top w:val="none" w:sz="0" w:space="0" w:color="auto"/>
        <w:left w:val="none" w:sz="0" w:space="0" w:color="auto"/>
        <w:bottom w:val="none" w:sz="0" w:space="0" w:color="auto"/>
        <w:right w:val="none" w:sz="0" w:space="0" w:color="auto"/>
      </w:divBdr>
      <w:divsChild>
        <w:div w:id="123741987">
          <w:marLeft w:val="0"/>
          <w:marRight w:val="0"/>
          <w:marTop w:val="0"/>
          <w:marBottom w:val="0"/>
          <w:divBdr>
            <w:top w:val="none" w:sz="0" w:space="0" w:color="auto"/>
            <w:left w:val="none" w:sz="0" w:space="0" w:color="auto"/>
            <w:bottom w:val="none" w:sz="0" w:space="0" w:color="auto"/>
            <w:right w:val="none" w:sz="0" w:space="0" w:color="auto"/>
          </w:divBdr>
        </w:div>
        <w:div w:id="1967344464">
          <w:marLeft w:val="0"/>
          <w:marRight w:val="0"/>
          <w:marTop w:val="0"/>
          <w:marBottom w:val="0"/>
          <w:divBdr>
            <w:top w:val="none" w:sz="0" w:space="0" w:color="auto"/>
            <w:left w:val="none" w:sz="0" w:space="0" w:color="auto"/>
            <w:bottom w:val="none" w:sz="0" w:space="0" w:color="auto"/>
            <w:right w:val="none" w:sz="0" w:space="0" w:color="auto"/>
          </w:divBdr>
        </w:div>
        <w:div w:id="1816726714">
          <w:marLeft w:val="0"/>
          <w:marRight w:val="0"/>
          <w:marTop w:val="0"/>
          <w:marBottom w:val="0"/>
          <w:divBdr>
            <w:top w:val="none" w:sz="0" w:space="0" w:color="auto"/>
            <w:left w:val="none" w:sz="0" w:space="0" w:color="auto"/>
            <w:bottom w:val="none" w:sz="0" w:space="0" w:color="auto"/>
            <w:right w:val="none" w:sz="0" w:space="0" w:color="auto"/>
          </w:divBdr>
        </w:div>
      </w:divsChild>
    </w:div>
    <w:div w:id="1239945510">
      <w:bodyDiv w:val="1"/>
      <w:marLeft w:val="0"/>
      <w:marRight w:val="0"/>
      <w:marTop w:val="0"/>
      <w:marBottom w:val="0"/>
      <w:divBdr>
        <w:top w:val="none" w:sz="0" w:space="0" w:color="auto"/>
        <w:left w:val="none" w:sz="0" w:space="0" w:color="auto"/>
        <w:bottom w:val="none" w:sz="0" w:space="0" w:color="auto"/>
        <w:right w:val="none" w:sz="0" w:space="0" w:color="auto"/>
      </w:divBdr>
    </w:div>
    <w:div w:id="1355497934">
      <w:bodyDiv w:val="1"/>
      <w:marLeft w:val="0"/>
      <w:marRight w:val="0"/>
      <w:marTop w:val="0"/>
      <w:marBottom w:val="0"/>
      <w:divBdr>
        <w:top w:val="none" w:sz="0" w:space="0" w:color="auto"/>
        <w:left w:val="none" w:sz="0" w:space="0" w:color="auto"/>
        <w:bottom w:val="none" w:sz="0" w:space="0" w:color="auto"/>
        <w:right w:val="none" w:sz="0" w:space="0" w:color="auto"/>
      </w:divBdr>
      <w:divsChild>
        <w:div w:id="374820228">
          <w:marLeft w:val="0"/>
          <w:marRight w:val="0"/>
          <w:marTop w:val="0"/>
          <w:marBottom w:val="0"/>
          <w:divBdr>
            <w:top w:val="none" w:sz="0" w:space="0" w:color="auto"/>
            <w:left w:val="none" w:sz="0" w:space="0" w:color="auto"/>
            <w:bottom w:val="none" w:sz="0" w:space="0" w:color="auto"/>
            <w:right w:val="none" w:sz="0" w:space="0" w:color="auto"/>
          </w:divBdr>
          <w:divsChild>
            <w:div w:id="1169103240">
              <w:marLeft w:val="150"/>
              <w:marRight w:val="0"/>
              <w:marTop w:val="0"/>
              <w:marBottom w:val="0"/>
              <w:divBdr>
                <w:top w:val="none" w:sz="0" w:space="0" w:color="auto"/>
                <w:left w:val="none" w:sz="0" w:space="0" w:color="auto"/>
                <w:bottom w:val="none" w:sz="0" w:space="0" w:color="auto"/>
                <w:right w:val="none" w:sz="0" w:space="0" w:color="auto"/>
              </w:divBdr>
            </w:div>
          </w:divsChild>
        </w:div>
        <w:div w:id="1693264160">
          <w:marLeft w:val="0"/>
          <w:marRight w:val="0"/>
          <w:marTop w:val="0"/>
          <w:marBottom w:val="0"/>
          <w:divBdr>
            <w:top w:val="none" w:sz="0" w:space="0" w:color="auto"/>
            <w:left w:val="none" w:sz="0" w:space="0" w:color="auto"/>
            <w:bottom w:val="none" w:sz="0" w:space="0" w:color="auto"/>
            <w:right w:val="none" w:sz="0" w:space="0" w:color="auto"/>
          </w:divBdr>
          <w:divsChild>
            <w:div w:id="1907376682">
              <w:marLeft w:val="150"/>
              <w:marRight w:val="0"/>
              <w:marTop w:val="0"/>
              <w:marBottom w:val="0"/>
              <w:divBdr>
                <w:top w:val="none" w:sz="0" w:space="0" w:color="auto"/>
                <w:left w:val="none" w:sz="0" w:space="0" w:color="auto"/>
                <w:bottom w:val="none" w:sz="0" w:space="0" w:color="auto"/>
                <w:right w:val="none" w:sz="0" w:space="0" w:color="auto"/>
              </w:divBdr>
            </w:div>
          </w:divsChild>
        </w:div>
        <w:div w:id="902377120">
          <w:marLeft w:val="0"/>
          <w:marRight w:val="0"/>
          <w:marTop w:val="0"/>
          <w:marBottom w:val="0"/>
          <w:divBdr>
            <w:top w:val="none" w:sz="0" w:space="0" w:color="auto"/>
            <w:left w:val="none" w:sz="0" w:space="0" w:color="auto"/>
            <w:bottom w:val="none" w:sz="0" w:space="0" w:color="auto"/>
            <w:right w:val="none" w:sz="0" w:space="0" w:color="auto"/>
          </w:divBdr>
          <w:divsChild>
            <w:div w:id="1145977227">
              <w:marLeft w:val="150"/>
              <w:marRight w:val="0"/>
              <w:marTop w:val="0"/>
              <w:marBottom w:val="0"/>
              <w:divBdr>
                <w:top w:val="none" w:sz="0" w:space="0" w:color="auto"/>
                <w:left w:val="none" w:sz="0" w:space="0" w:color="auto"/>
                <w:bottom w:val="none" w:sz="0" w:space="0" w:color="auto"/>
                <w:right w:val="none" w:sz="0" w:space="0" w:color="auto"/>
              </w:divBdr>
            </w:div>
          </w:divsChild>
        </w:div>
        <w:div w:id="1101141145">
          <w:marLeft w:val="0"/>
          <w:marRight w:val="0"/>
          <w:marTop w:val="0"/>
          <w:marBottom w:val="0"/>
          <w:divBdr>
            <w:top w:val="none" w:sz="0" w:space="0" w:color="auto"/>
            <w:left w:val="none" w:sz="0" w:space="0" w:color="auto"/>
            <w:bottom w:val="none" w:sz="0" w:space="0" w:color="auto"/>
            <w:right w:val="none" w:sz="0" w:space="0" w:color="auto"/>
          </w:divBdr>
          <w:divsChild>
            <w:div w:id="1084884404">
              <w:marLeft w:val="150"/>
              <w:marRight w:val="0"/>
              <w:marTop w:val="0"/>
              <w:marBottom w:val="0"/>
              <w:divBdr>
                <w:top w:val="none" w:sz="0" w:space="0" w:color="auto"/>
                <w:left w:val="none" w:sz="0" w:space="0" w:color="auto"/>
                <w:bottom w:val="none" w:sz="0" w:space="0" w:color="auto"/>
                <w:right w:val="none" w:sz="0" w:space="0" w:color="auto"/>
              </w:divBdr>
            </w:div>
          </w:divsChild>
        </w:div>
        <w:div w:id="450591121">
          <w:marLeft w:val="0"/>
          <w:marRight w:val="0"/>
          <w:marTop w:val="0"/>
          <w:marBottom w:val="0"/>
          <w:divBdr>
            <w:top w:val="none" w:sz="0" w:space="0" w:color="auto"/>
            <w:left w:val="none" w:sz="0" w:space="0" w:color="auto"/>
            <w:bottom w:val="none" w:sz="0" w:space="0" w:color="auto"/>
            <w:right w:val="none" w:sz="0" w:space="0" w:color="auto"/>
          </w:divBdr>
          <w:divsChild>
            <w:div w:id="1019157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0896281">
      <w:bodyDiv w:val="1"/>
      <w:marLeft w:val="0"/>
      <w:marRight w:val="0"/>
      <w:marTop w:val="0"/>
      <w:marBottom w:val="0"/>
      <w:divBdr>
        <w:top w:val="none" w:sz="0" w:space="0" w:color="auto"/>
        <w:left w:val="none" w:sz="0" w:space="0" w:color="auto"/>
        <w:bottom w:val="none" w:sz="0" w:space="0" w:color="auto"/>
        <w:right w:val="none" w:sz="0" w:space="0" w:color="auto"/>
      </w:divBdr>
    </w:div>
    <w:div w:id="1656756824">
      <w:bodyDiv w:val="1"/>
      <w:marLeft w:val="0"/>
      <w:marRight w:val="0"/>
      <w:marTop w:val="0"/>
      <w:marBottom w:val="0"/>
      <w:divBdr>
        <w:top w:val="none" w:sz="0" w:space="0" w:color="auto"/>
        <w:left w:val="none" w:sz="0" w:space="0" w:color="auto"/>
        <w:bottom w:val="none" w:sz="0" w:space="0" w:color="auto"/>
        <w:right w:val="none" w:sz="0" w:space="0" w:color="auto"/>
      </w:divBdr>
      <w:divsChild>
        <w:div w:id="1208370566">
          <w:marLeft w:val="0"/>
          <w:marRight w:val="0"/>
          <w:marTop w:val="0"/>
          <w:marBottom w:val="0"/>
          <w:divBdr>
            <w:top w:val="none" w:sz="0" w:space="0" w:color="auto"/>
            <w:left w:val="none" w:sz="0" w:space="0" w:color="auto"/>
            <w:bottom w:val="none" w:sz="0" w:space="0" w:color="auto"/>
            <w:right w:val="none" w:sz="0" w:space="0" w:color="auto"/>
          </w:divBdr>
          <w:divsChild>
            <w:div w:id="1727142155">
              <w:marLeft w:val="150"/>
              <w:marRight w:val="0"/>
              <w:marTop w:val="0"/>
              <w:marBottom w:val="0"/>
              <w:divBdr>
                <w:top w:val="none" w:sz="0" w:space="0" w:color="auto"/>
                <w:left w:val="none" w:sz="0" w:space="0" w:color="auto"/>
                <w:bottom w:val="none" w:sz="0" w:space="0" w:color="auto"/>
                <w:right w:val="none" w:sz="0" w:space="0" w:color="auto"/>
              </w:divBdr>
            </w:div>
          </w:divsChild>
        </w:div>
        <w:div w:id="1026252878">
          <w:marLeft w:val="0"/>
          <w:marRight w:val="0"/>
          <w:marTop w:val="0"/>
          <w:marBottom w:val="0"/>
          <w:divBdr>
            <w:top w:val="none" w:sz="0" w:space="0" w:color="auto"/>
            <w:left w:val="none" w:sz="0" w:space="0" w:color="auto"/>
            <w:bottom w:val="none" w:sz="0" w:space="0" w:color="auto"/>
            <w:right w:val="none" w:sz="0" w:space="0" w:color="auto"/>
          </w:divBdr>
          <w:divsChild>
            <w:div w:id="1351832737">
              <w:marLeft w:val="150"/>
              <w:marRight w:val="0"/>
              <w:marTop w:val="0"/>
              <w:marBottom w:val="0"/>
              <w:divBdr>
                <w:top w:val="none" w:sz="0" w:space="0" w:color="auto"/>
                <w:left w:val="none" w:sz="0" w:space="0" w:color="auto"/>
                <w:bottom w:val="none" w:sz="0" w:space="0" w:color="auto"/>
                <w:right w:val="none" w:sz="0" w:space="0" w:color="auto"/>
              </w:divBdr>
            </w:div>
          </w:divsChild>
        </w:div>
        <w:div w:id="2121871346">
          <w:marLeft w:val="0"/>
          <w:marRight w:val="0"/>
          <w:marTop w:val="0"/>
          <w:marBottom w:val="0"/>
          <w:divBdr>
            <w:top w:val="none" w:sz="0" w:space="0" w:color="auto"/>
            <w:left w:val="none" w:sz="0" w:space="0" w:color="auto"/>
            <w:bottom w:val="none" w:sz="0" w:space="0" w:color="auto"/>
            <w:right w:val="none" w:sz="0" w:space="0" w:color="auto"/>
          </w:divBdr>
          <w:divsChild>
            <w:div w:id="11293962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1759710">
      <w:bodyDiv w:val="1"/>
      <w:marLeft w:val="0"/>
      <w:marRight w:val="0"/>
      <w:marTop w:val="0"/>
      <w:marBottom w:val="0"/>
      <w:divBdr>
        <w:top w:val="none" w:sz="0" w:space="0" w:color="auto"/>
        <w:left w:val="none" w:sz="0" w:space="0" w:color="auto"/>
        <w:bottom w:val="none" w:sz="0" w:space="0" w:color="auto"/>
        <w:right w:val="none" w:sz="0" w:space="0" w:color="auto"/>
      </w:divBdr>
      <w:divsChild>
        <w:div w:id="2003655660">
          <w:marLeft w:val="0"/>
          <w:marRight w:val="0"/>
          <w:marTop w:val="0"/>
          <w:marBottom w:val="0"/>
          <w:divBdr>
            <w:top w:val="none" w:sz="0" w:space="0" w:color="auto"/>
            <w:left w:val="none" w:sz="0" w:space="0" w:color="auto"/>
            <w:bottom w:val="none" w:sz="0" w:space="0" w:color="auto"/>
            <w:right w:val="none" w:sz="0" w:space="0" w:color="auto"/>
          </w:divBdr>
          <w:divsChild>
            <w:div w:id="692076992">
              <w:marLeft w:val="150"/>
              <w:marRight w:val="0"/>
              <w:marTop w:val="0"/>
              <w:marBottom w:val="0"/>
              <w:divBdr>
                <w:top w:val="none" w:sz="0" w:space="0" w:color="auto"/>
                <w:left w:val="none" w:sz="0" w:space="0" w:color="auto"/>
                <w:bottom w:val="none" w:sz="0" w:space="0" w:color="auto"/>
                <w:right w:val="none" w:sz="0" w:space="0" w:color="auto"/>
              </w:divBdr>
            </w:div>
          </w:divsChild>
        </w:div>
        <w:div w:id="1877429875">
          <w:marLeft w:val="0"/>
          <w:marRight w:val="0"/>
          <w:marTop w:val="0"/>
          <w:marBottom w:val="0"/>
          <w:divBdr>
            <w:top w:val="none" w:sz="0" w:space="0" w:color="auto"/>
            <w:left w:val="none" w:sz="0" w:space="0" w:color="auto"/>
            <w:bottom w:val="none" w:sz="0" w:space="0" w:color="auto"/>
            <w:right w:val="none" w:sz="0" w:space="0" w:color="auto"/>
          </w:divBdr>
          <w:divsChild>
            <w:div w:id="542644082">
              <w:marLeft w:val="150"/>
              <w:marRight w:val="0"/>
              <w:marTop w:val="0"/>
              <w:marBottom w:val="0"/>
              <w:divBdr>
                <w:top w:val="none" w:sz="0" w:space="0" w:color="auto"/>
                <w:left w:val="none" w:sz="0" w:space="0" w:color="auto"/>
                <w:bottom w:val="none" w:sz="0" w:space="0" w:color="auto"/>
                <w:right w:val="none" w:sz="0" w:space="0" w:color="auto"/>
              </w:divBdr>
            </w:div>
          </w:divsChild>
        </w:div>
        <w:div w:id="283540885">
          <w:marLeft w:val="0"/>
          <w:marRight w:val="0"/>
          <w:marTop w:val="0"/>
          <w:marBottom w:val="0"/>
          <w:divBdr>
            <w:top w:val="none" w:sz="0" w:space="0" w:color="auto"/>
            <w:left w:val="none" w:sz="0" w:space="0" w:color="auto"/>
            <w:bottom w:val="none" w:sz="0" w:space="0" w:color="auto"/>
            <w:right w:val="none" w:sz="0" w:space="0" w:color="auto"/>
          </w:divBdr>
          <w:divsChild>
            <w:div w:id="7487002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95384007">
      <w:bodyDiv w:val="1"/>
      <w:marLeft w:val="0"/>
      <w:marRight w:val="0"/>
      <w:marTop w:val="0"/>
      <w:marBottom w:val="0"/>
      <w:divBdr>
        <w:top w:val="none" w:sz="0" w:space="0" w:color="auto"/>
        <w:left w:val="none" w:sz="0" w:space="0" w:color="auto"/>
        <w:bottom w:val="none" w:sz="0" w:space="0" w:color="auto"/>
        <w:right w:val="none" w:sz="0" w:space="0" w:color="auto"/>
      </w:divBdr>
      <w:divsChild>
        <w:div w:id="1179351818">
          <w:marLeft w:val="0"/>
          <w:marRight w:val="0"/>
          <w:marTop w:val="0"/>
          <w:marBottom w:val="0"/>
          <w:divBdr>
            <w:top w:val="none" w:sz="0" w:space="0" w:color="auto"/>
            <w:left w:val="none" w:sz="0" w:space="0" w:color="auto"/>
            <w:bottom w:val="none" w:sz="0" w:space="0" w:color="auto"/>
            <w:right w:val="none" w:sz="0" w:space="0" w:color="auto"/>
          </w:divBdr>
          <w:divsChild>
            <w:div w:id="1798983392">
              <w:marLeft w:val="0"/>
              <w:marRight w:val="0"/>
              <w:marTop w:val="0"/>
              <w:marBottom w:val="0"/>
              <w:divBdr>
                <w:top w:val="none" w:sz="0" w:space="0" w:color="auto"/>
                <w:left w:val="none" w:sz="0" w:space="0" w:color="auto"/>
                <w:bottom w:val="none" w:sz="0" w:space="0" w:color="auto"/>
                <w:right w:val="none" w:sz="0" w:space="0" w:color="auto"/>
              </w:divBdr>
              <w:divsChild>
                <w:div w:id="1809935073">
                  <w:marLeft w:val="150"/>
                  <w:marRight w:val="0"/>
                  <w:marTop w:val="0"/>
                  <w:marBottom w:val="0"/>
                  <w:divBdr>
                    <w:top w:val="none" w:sz="0" w:space="0" w:color="auto"/>
                    <w:left w:val="none" w:sz="0" w:space="0" w:color="auto"/>
                    <w:bottom w:val="none" w:sz="0" w:space="0" w:color="auto"/>
                    <w:right w:val="none" w:sz="0" w:space="0" w:color="auto"/>
                  </w:divBdr>
                </w:div>
              </w:divsChild>
            </w:div>
            <w:div w:id="746534147">
              <w:marLeft w:val="0"/>
              <w:marRight w:val="0"/>
              <w:marTop w:val="0"/>
              <w:marBottom w:val="0"/>
              <w:divBdr>
                <w:top w:val="none" w:sz="0" w:space="0" w:color="auto"/>
                <w:left w:val="none" w:sz="0" w:space="0" w:color="auto"/>
                <w:bottom w:val="none" w:sz="0" w:space="0" w:color="auto"/>
                <w:right w:val="none" w:sz="0" w:space="0" w:color="auto"/>
              </w:divBdr>
              <w:divsChild>
                <w:div w:id="129203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154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173DB-DBDC-45F1-A946-96EBD12E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2122</Words>
  <Characters>12737</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14830</CharactersWithSpaces>
  <SharedDoc>false</SharedDoc>
  <HLinks>
    <vt:vector size="6" baseType="variant">
      <vt:variant>
        <vt:i4>1507422</vt:i4>
      </vt:variant>
      <vt:variant>
        <vt:i4>0</vt:i4>
      </vt:variant>
      <vt:variant>
        <vt:i4>0</vt:i4>
      </vt:variant>
      <vt:variant>
        <vt:i4>5</vt:i4>
      </vt:variant>
      <vt:variant>
        <vt:lpwstr>http://www.compliancepartners.pl/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2016-09-26T21:36:00Z</dcterms:created>
  <dcterms:modified xsi:type="dcterms:W3CDTF">2016-09-27T16:09:00Z</dcterms:modified>
</cp:coreProperties>
</file>